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EB7ADA" w:rsidRDefault="00EB7ADA" w:rsidP="00963E02">
      <w:pPr>
        <w:jc w:val="left"/>
        <w:rPr>
          <w:smallCaps/>
        </w:rPr>
      </w:pPr>
      <w:r w:rsidRPr="0027088D">
        <w:rPr>
          <w:smallCaps/>
        </w:rPr>
        <w:t>Comparing bacterial community composition of</w:t>
      </w:r>
      <w:r w:rsidRPr="0027088D">
        <w:rPr>
          <w:i/>
          <w:smallCaps/>
        </w:rPr>
        <w:t xml:space="preserve"> Montastraea cavernosa</w:t>
      </w:r>
      <w:r w:rsidRPr="0027088D">
        <w:rPr>
          <w:smallCaps/>
        </w:rPr>
        <w:t xml:space="preserve"> mucus between exposure to high and low levels of freshwater discharge from the St. Lucie Canal</w:t>
      </w:r>
    </w:p>
    <w:p w:rsidR="000D2C95" w:rsidRDefault="000D2C95" w:rsidP="00963E02">
      <w:pPr>
        <w:jc w:val="left"/>
        <w:rPr>
          <w:smallCaps/>
        </w:rPr>
      </w:pPr>
    </w:p>
    <w:p w:rsidR="000D2C95" w:rsidRDefault="000D2C95" w:rsidP="009056D8">
      <w:pPr>
        <w:rPr>
          <w:smallCaps/>
        </w:rPr>
      </w:pPr>
      <w:r>
        <w:rPr>
          <w:smallCaps/>
        </w:rPr>
        <w:t>Abstract</w:t>
      </w:r>
    </w:p>
    <w:p w:rsidR="009056D8" w:rsidRDefault="009056D8" w:rsidP="009056D8">
      <w:pPr>
        <w:rPr>
          <w:smallCaps/>
        </w:rPr>
      </w:pPr>
    </w:p>
    <w:p w:rsidR="00EB7ADA" w:rsidRDefault="000D2C95" w:rsidP="00963E02">
      <w:pPr>
        <w:jc w:val="left"/>
      </w:pPr>
      <w:r>
        <w:tab/>
      </w:r>
      <w:r w:rsidR="000A6A2A">
        <w:t xml:space="preserve">The welfare </w:t>
      </w:r>
      <w:r>
        <w:t xml:space="preserve">of coral reefs </w:t>
      </w:r>
      <w:r w:rsidR="000A6A2A">
        <w:t>has been greatly threatened by climate change and human-related activity, such as pollution, dredging, and overfishing. In the St. Lucie Reef, coral are exposed to high levels terrestrial</w:t>
      </w:r>
      <w:r w:rsidR="009056D8">
        <w:t xml:space="preserve"> and</w:t>
      </w:r>
      <w:r w:rsidR="000A6A2A">
        <w:t xml:space="preserve"> freshwater discharge from several surrounding sources, including Canal C-44, which channels water from Lake Okeechobee. Several stressors </w:t>
      </w:r>
      <w:r w:rsidR="009056D8">
        <w:t>negatively impacting</w:t>
      </w:r>
      <w:r w:rsidR="000A6A2A">
        <w:t xml:space="preserve"> coral physiology are introduced by the discharge water, </w:t>
      </w:r>
      <w:r w:rsidR="009056D8">
        <w:t>such as elevated nutrient levels and increased turbidity</w:t>
      </w:r>
      <w:r w:rsidR="000A6A2A">
        <w:t>.</w:t>
      </w:r>
      <w:r w:rsidR="009056D8">
        <w:t xml:space="preserve"> Microbial communities associated with coral are greatly affected by environmental conditions and</w:t>
      </w:r>
      <w:r w:rsidR="000A6A2A">
        <w:t xml:space="preserve"> play a large role in coral health</w:t>
      </w:r>
      <w:r w:rsidR="009056D8">
        <w:t xml:space="preserve">. This study investigated the effects of discharge water on the microbial community composition on the surface of the reef-building coral, </w:t>
      </w:r>
      <w:r w:rsidR="009056D8" w:rsidRPr="009056D8">
        <w:rPr>
          <w:i/>
        </w:rPr>
        <w:t>Montastraea cavernosa</w:t>
      </w:r>
      <w:r w:rsidR="009056D8">
        <w:t xml:space="preserve">. Using LH-PCR to characterize the communities, a significant shift in composition was observed between the communities of colonies exposed to a low level of discharge water from Canal C-44 versus exposure to a high level of discharge water. </w:t>
      </w:r>
      <w:r w:rsidR="00434617">
        <w:t>Evidence for contamination by discha</w:t>
      </w:r>
      <w:r w:rsidR="00455DF1">
        <w:t>rge-associated microbes includes</w:t>
      </w:r>
      <w:r w:rsidR="00434617">
        <w:t xml:space="preserve"> the</w:t>
      </w:r>
      <w:r w:rsidR="00455DF1">
        <w:t xml:space="preserve"> observed lower abundance of</w:t>
      </w:r>
      <w:r w:rsidR="00434617">
        <w:t xml:space="preserve"> h</w:t>
      </w:r>
      <w:r w:rsidR="00455DF1">
        <w:t xml:space="preserve">eterotrophic bacteria and higher abundance of sulfide-oxidizers </w:t>
      </w:r>
      <w:r w:rsidR="00434617">
        <w:t xml:space="preserve">in the </w:t>
      </w:r>
      <w:r w:rsidR="00455DF1">
        <w:t>communities of the high</w:t>
      </w:r>
      <w:r w:rsidR="00434617">
        <w:t xml:space="preserve"> discharge level group versus </w:t>
      </w:r>
      <w:r w:rsidR="00455DF1">
        <w:t>those of the low</w:t>
      </w:r>
      <w:r w:rsidR="00434617">
        <w:t xml:space="preserve"> discharge level group. </w:t>
      </w:r>
      <w:r w:rsidR="009056D8">
        <w:t>Additional sequencing and analysis could determine how the shift</w:t>
      </w:r>
      <w:r w:rsidR="00455DF1">
        <w:t xml:space="preserve"> specifically</w:t>
      </w:r>
      <w:r w:rsidR="009056D8">
        <w:t xml:space="preserve"> impacts </w:t>
      </w:r>
      <w:r w:rsidR="009056D8" w:rsidRPr="009056D8">
        <w:rPr>
          <w:i/>
        </w:rPr>
        <w:t>M. cavernosa</w:t>
      </w:r>
      <w:r w:rsidR="009056D8">
        <w:t xml:space="preserve"> health.</w:t>
      </w:r>
    </w:p>
    <w:p w:rsidR="009056D8" w:rsidRPr="0027088D" w:rsidRDefault="009056D8" w:rsidP="00963E02">
      <w:pPr>
        <w:jc w:val="left"/>
      </w:pPr>
    </w:p>
    <w:p w:rsidR="00EB7ADA" w:rsidRPr="0027088D" w:rsidRDefault="00FB34CF" w:rsidP="00963E02">
      <w:pPr>
        <w:rPr>
          <w:smallCaps/>
        </w:rPr>
      </w:pPr>
      <w:r w:rsidRPr="0027088D">
        <w:rPr>
          <w:smallCaps/>
        </w:rPr>
        <w:t>Introduction</w:t>
      </w:r>
    </w:p>
    <w:p w:rsidR="00EB7ADA" w:rsidRPr="0027088D" w:rsidRDefault="00EB7ADA" w:rsidP="00963E02">
      <w:pPr>
        <w:ind w:firstLine="720"/>
        <w:jc w:val="left"/>
      </w:pPr>
      <w:r w:rsidRPr="0027088D">
        <w:t xml:space="preserve">Anthropogenic effects and climate change have taken a significant toll on the livelihood of the extraordinarily diverse and economically </w:t>
      </w:r>
      <w:r w:rsidR="00E83A2E" w:rsidRPr="0027088D">
        <w:t>significant</w:t>
      </w:r>
      <w:r w:rsidRPr="0027088D">
        <w:t xml:space="preserve"> coral reefs (Burke et al 2004).  Within the past forty years, reef-building coral cover has reduced by approximately 80% in the Caribbean basin (Gardner et al 2003). One source of damage to reefs includes terrestrial inputs, such as nutrient-saturated </w:t>
      </w:r>
      <w:r w:rsidR="00110295">
        <w:t>stormwater runoff</w:t>
      </w:r>
      <w:r w:rsidRPr="0027088D">
        <w:t xml:space="preserve"> and sewage waste (Wear and Thurber 2015).</w:t>
      </w:r>
      <w:r w:rsidR="00A94D7E" w:rsidRPr="0027088D">
        <w:t xml:space="preserve"> W</w:t>
      </w:r>
      <w:r w:rsidR="00E83A2E" w:rsidRPr="0027088D">
        <w:t xml:space="preserve">ater from these sources can </w:t>
      </w:r>
      <w:r w:rsidR="00A94D7E" w:rsidRPr="0027088D">
        <w:t>significantly alter seawater surrounding reefs</w:t>
      </w:r>
      <w:r w:rsidR="00CD2B2B" w:rsidRPr="0027088D">
        <w:t xml:space="preserve"> several ways,</w:t>
      </w:r>
      <w:r w:rsidR="00A67331" w:rsidRPr="0027088D">
        <w:t xml:space="preserve"> such as changing</w:t>
      </w:r>
      <w:r w:rsidR="00A94D7E" w:rsidRPr="0027088D">
        <w:t xml:space="preserve"> </w:t>
      </w:r>
      <w:r w:rsidR="00FB34CF" w:rsidRPr="0027088D">
        <w:t>salinity</w:t>
      </w:r>
      <w:r w:rsidR="00110295">
        <w:t xml:space="preserve">, </w:t>
      </w:r>
      <w:r w:rsidR="00FB34CF" w:rsidRPr="0027088D">
        <w:t>turbidity</w:t>
      </w:r>
      <w:r w:rsidR="00110295">
        <w:t>, and nutrient levels</w:t>
      </w:r>
      <w:r w:rsidR="00FB34CF" w:rsidRPr="0027088D">
        <w:t>. These altered</w:t>
      </w:r>
      <w:r w:rsidR="00A94D7E" w:rsidRPr="0027088D">
        <w:t xml:space="preserve"> conditions often nega</w:t>
      </w:r>
      <w:r w:rsidR="00CD2B2B" w:rsidRPr="0027088D">
        <w:t xml:space="preserve">tively impact coral physiology, including: </w:t>
      </w:r>
      <w:r w:rsidR="00A94D7E" w:rsidRPr="0027088D">
        <w:t>stifling coral feeding, promoting algal dominance, and</w:t>
      </w:r>
      <w:r w:rsidR="00A67331" w:rsidRPr="0027088D">
        <w:t xml:space="preserve"> increasing coral susceptibility to disease</w:t>
      </w:r>
      <w:r w:rsidR="00110295">
        <w:t xml:space="preserve"> and bleaching</w:t>
      </w:r>
      <w:r w:rsidR="00A94D7E" w:rsidRPr="0027088D">
        <w:t xml:space="preserve"> </w:t>
      </w:r>
      <w:r w:rsidR="00E83A2E" w:rsidRPr="0027088D">
        <w:t>(</w:t>
      </w:r>
      <w:r w:rsidR="006B0366" w:rsidRPr="0027088D">
        <w:t>Fabricius 2005</w:t>
      </w:r>
      <w:r w:rsidR="00A67331" w:rsidRPr="0027088D">
        <w:t>, Pollock et al 2014</w:t>
      </w:r>
      <w:r w:rsidR="006B0366" w:rsidRPr="0027088D">
        <w:t>).</w:t>
      </w:r>
    </w:p>
    <w:p w:rsidR="00E607E1" w:rsidRDefault="00117556" w:rsidP="009F59F4">
      <w:pPr>
        <w:ind w:firstLine="720"/>
        <w:jc w:val="left"/>
      </w:pPr>
      <w:r w:rsidRPr="0027088D">
        <w:t>During Florida’s rainy, or wet, season, c</w:t>
      </w:r>
      <w:r w:rsidR="00CD2B2B" w:rsidRPr="0027088D">
        <w:t>oral</w:t>
      </w:r>
      <w:r w:rsidR="00EB7ADA" w:rsidRPr="0027088D">
        <w:t xml:space="preserve"> in the St</w:t>
      </w:r>
      <w:r w:rsidR="00CD2B2B" w:rsidRPr="0027088D">
        <w:t>. Lucie Reef are subject to</w:t>
      </w:r>
      <w:r w:rsidR="00EB7ADA" w:rsidRPr="0027088D">
        <w:t xml:space="preserve"> freshwater discharge</w:t>
      </w:r>
      <w:r w:rsidR="00CD2B2B" w:rsidRPr="0027088D">
        <w:t xml:space="preserve"> up to</w:t>
      </w:r>
      <w:r w:rsidRPr="0027088D">
        <w:t xml:space="preserve"> ~6</w:t>
      </w:r>
      <w:r w:rsidR="00CD2B2B" w:rsidRPr="0027088D">
        <w:t xml:space="preserve">000 cubic feet per </w:t>
      </w:r>
      <w:r w:rsidRPr="0027088D">
        <w:t>second</w:t>
      </w:r>
      <w:r w:rsidR="00110295">
        <w:t xml:space="preserve"> (cfs)</w:t>
      </w:r>
      <w:r w:rsidR="00B37F93">
        <w:t xml:space="preserve"> </w:t>
      </w:r>
      <w:r w:rsidR="00E252F2">
        <w:t xml:space="preserve">from </w:t>
      </w:r>
      <w:r w:rsidR="002A32E8">
        <w:t xml:space="preserve">St. Lucie Estuary </w:t>
      </w:r>
      <w:r w:rsidR="00E252F2">
        <w:t>through the St. Lucie Inlet</w:t>
      </w:r>
      <w:r w:rsidR="00EB7ADA" w:rsidRPr="0027088D">
        <w:t>.</w:t>
      </w:r>
      <w:r w:rsidR="00B37F93">
        <w:t xml:space="preserve"> Approximately one third of thi</w:t>
      </w:r>
      <w:r w:rsidR="00963E02" w:rsidRPr="0027088D">
        <w:t xml:space="preserve">s freshwater </w:t>
      </w:r>
      <w:r w:rsidR="00B558E2" w:rsidRPr="0027088D">
        <w:t xml:space="preserve">ultimately </w:t>
      </w:r>
      <w:r w:rsidR="00963E02" w:rsidRPr="0027088D">
        <w:t xml:space="preserve">derives from </w:t>
      </w:r>
      <w:r w:rsidR="002A32E8">
        <w:t>Lake Okeechobee</w:t>
      </w:r>
      <w:r w:rsidR="00E252F2">
        <w:t xml:space="preserve"> (Beal et al 2012)</w:t>
      </w:r>
      <w:r w:rsidR="00B558E2" w:rsidRPr="0027088D">
        <w:t xml:space="preserve">. </w:t>
      </w:r>
      <w:r w:rsidR="001855F4" w:rsidRPr="0027088D">
        <w:t xml:space="preserve">During flooding events or </w:t>
      </w:r>
      <w:r w:rsidR="007071FF">
        <w:t xml:space="preserve">periods of </w:t>
      </w:r>
      <w:r w:rsidR="001855F4" w:rsidRPr="0027088D">
        <w:t>heavy rainfall, excess w</w:t>
      </w:r>
      <w:r w:rsidR="00B558E2" w:rsidRPr="0027088D">
        <w:t xml:space="preserve">ater from Lake Okeechobee is channeled through Canal C-44, which </w:t>
      </w:r>
      <w:r w:rsidR="002A32E8">
        <w:t>accumulates pollutants that eventually empty into the St. Lucie Inlet</w:t>
      </w:r>
      <w:r w:rsidR="00B558E2" w:rsidRPr="0027088D">
        <w:t xml:space="preserve">. </w:t>
      </w:r>
      <w:r w:rsidR="00E252F2">
        <w:t xml:space="preserve">Additional sources of agricultural and terrestrial pollutants </w:t>
      </w:r>
      <w:r w:rsidR="002A32E8">
        <w:t>in the St. Lucie Inlet</w:t>
      </w:r>
      <w:r w:rsidR="00E252F2">
        <w:t xml:space="preserve"> include</w:t>
      </w:r>
      <w:r w:rsidR="002A32E8">
        <w:t xml:space="preserve"> the St. Lucie River and drainage canals</w:t>
      </w:r>
      <w:r w:rsidR="00B37F93">
        <w:t xml:space="preserve"> </w:t>
      </w:r>
      <w:r w:rsidR="00963E02" w:rsidRPr="0027088D">
        <w:t>C-23 and C-24</w:t>
      </w:r>
      <w:r w:rsidR="004649A5" w:rsidRPr="0027088D">
        <w:t xml:space="preserve"> (Sime 2005)</w:t>
      </w:r>
      <w:r w:rsidR="002A32E8">
        <w:t xml:space="preserve">. </w:t>
      </w:r>
    </w:p>
    <w:p w:rsidR="009619B5" w:rsidRDefault="00E607E1" w:rsidP="009F59F4">
      <w:pPr>
        <w:ind w:firstLine="720"/>
        <w:jc w:val="left"/>
      </w:pPr>
      <w:r>
        <w:t xml:space="preserve">The </w:t>
      </w:r>
      <w:r w:rsidR="00B37F93">
        <w:t xml:space="preserve">St. Lucie Reef is considered the northernmost limit for several </w:t>
      </w:r>
      <w:r w:rsidR="009F59F4">
        <w:t xml:space="preserve">reef </w:t>
      </w:r>
      <w:r w:rsidR="00B37F93">
        <w:t xml:space="preserve">coral species. </w:t>
      </w:r>
      <w:r>
        <w:t>Considering its exposure to various sources of terrestrial water discharge and its location’s unique biological significance,</w:t>
      </w:r>
      <w:r w:rsidR="009F59F4">
        <w:t xml:space="preserve"> protective efforts have been established by organizations such as the </w:t>
      </w:r>
      <w:r w:rsidR="009F59F4" w:rsidRPr="009F59F4">
        <w:t>Southeast Florida Coral Reef Initiative</w:t>
      </w:r>
      <w:r w:rsidR="009F59F4">
        <w:t xml:space="preserve"> to monitor and maintain this</w:t>
      </w:r>
      <w:r>
        <w:t xml:space="preserve"> reef</w:t>
      </w:r>
      <w:r w:rsidR="009F59F4">
        <w:t xml:space="preserve"> (</w:t>
      </w:r>
      <w:r w:rsidR="00E252F2">
        <w:t>Beal et al 2012)</w:t>
      </w:r>
      <w:r w:rsidR="009F59F4">
        <w:t xml:space="preserve">.  Specifically, the boulder star coral species, </w:t>
      </w:r>
      <w:r w:rsidR="009F59F4" w:rsidRPr="009F59F4">
        <w:rPr>
          <w:i/>
        </w:rPr>
        <w:t>Montastraea cavernosa</w:t>
      </w:r>
      <w:r w:rsidR="009F59F4">
        <w:t>, has been monitored over the past five years.</w:t>
      </w:r>
      <w:r w:rsidR="009619B5">
        <w:t xml:space="preserve"> </w:t>
      </w:r>
    </w:p>
    <w:p w:rsidR="007071FF" w:rsidRPr="009F59F4" w:rsidRDefault="009619B5" w:rsidP="009F59F4">
      <w:pPr>
        <w:ind w:firstLine="720"/>
        <w:jc w:val="left"/>
      </w:pPr>
      <w:r>
        <w:t xml:space="preserve">The characteristics of </w:t>
      </w:r>
      <w:r w:rsidRPr="00431A1C">
        <w:rPr>
          <w:i/>
        </w:rPr>
        <w:t xml:space="preserve">M. cavernosa </w:t>
      </w:r>
      <w:r>
        <w:t xml:space="preserve">make it an ideal candidate for studying the impact of discharge water-associated stressors on coral. </w:t>
      </w:r>
      <w:r w:rsidRPr="00431A1C">
        <w:rPr>
          <w:i/>
        </w:rPr>
        <w:t>M. cavernosa</w:t>
      </w:r>
      <w:r>
        <w:t xml:space="preserve"> colonies have been observed in along both east and west edges of the Atlantic Ocean, from Bermud</w:t>
      </w:r>
      <w:r w:rsidR="00431A1C">
        <w:t>a to West Africa. W</w:t>
      </w:r>
      <w:r>
        <w:t xml:space="preserve">ith habitable depths ranging from 3m to 100m, </w:t>
      </w:r>
      <w:r w:rsidRPr="00431A1C">
        <w:rPr>
          <w:i/>
        </w:rPr>
        <w:t>M. cavernosa</w:t>
      </w:r>
      <w:r>
        <w:t xml:space="preserve"> has been regarded as an extreme depth generalist (Serrano et al 2014).</w:t>
      </w:r>
      <w:r w:rsidR="00431A1C">
        <w:t xml:space="preserve"> This species </w:t>
      </w:r>
      <w:r w:rsidR="001A1187">
        <w:t>existence</w:t>
      </w:r>
      <w:r w:rsidR="00431A1C">
        <w:t xml:space="preserve"> in such a variety of habitats could explain its tolerance to the stressors present in the St. Lucie Reef.</w:t>
      </w:r>
    </w:p>
    <w:p w:rsidR="001A1187" w:rsidRPr="0027088D" w:rsidRDefault="00431A1C" w:rsidP="001A1187">
      <w:pPr>
        <w:ind w:firstLine="720"/>
        <w:jc w:val="left"/>
      </w:pPr>
      <w:r>
        <w:lastRenderedPageBreak/>
        <w:t>To understand the physiology of this</w:t>
      </w:r>
      <w:r w:rsidR="008D036E" w:rsidRPr="0027088D">
        <w:t xml:space="preserve"> species’s</w:t>
      </w:r>
      <w:r w:rsidR="008D036E" w:rsidRPr="0027088D">
        <w:rPr>
          <w:i/>
        </w:rPr>
        <w:t xml:space="preserve"> </w:t>
      </w:r>
      <w:r>
        <w:t>tolerance to</w:t>
      </w:r>
      <w:r w:rsidR="00070287" w:rsidRPr="0027088D">
        <w:t xml:space="preserve"> discharge water-associated</w:t>
      </w:r>
      <w:r w:rsidR="00A67331" w:rsidRPr="0027088D">
        <w:t xml:space="preserve"> stressors</w:t>
      </w:r>
      <w:r w:rsidR="00EB7ADA" w:rsidRPr="0027088D">
        <w:t xml:space="preserve">, one must consider the coral holobiont. The coral holobiont includes the coral’s animal </w:t>
      </w:r>
      <w:r w:rsidR="008D036E" w:rsidRPr="0027088D">
        <w:t>tissue</w:t>
      </w:r>
      <w:r w:rsidR="00EB7ADA" w:rsidRPr="0027088D">
        <w:t>, symbiotic algae, and associated microbial communities, such as mucus bacteria</w:t>
      </w:r>
      <w:r w:rsidR="00B558E2" w:rsidRPr="0027088D">
        <w:t>. These symbiotic relationships are necessary to sustain coral health</w:t>
      </w:r>
      <w:r w:rsidR="00EB7ADA" w:rsidRPr="0027088D">
        <w:t xml:space="preserve"> (Tracy et al 2015).</w:t>
      </w:r>
      <w:r w:rsidR="005644A9" w:rsidRPr="0027088D">
        <w:t xml:space="preserve"> </w:t>
      </w:r>
      <w:r w:rsidR="008D036E" w:rsidRPr="0027088D">
        <w:t xml:space="preserve">A variety of microbial species reside in the </w:t>
      </w:r>
      <w:r w:rsidR="00505DD8" w:rsidRPr="0027088D">
        <w:t xml:space="preserve">layer of mucus </w:t>
      </w:r>
      <w:r w:rsidR="008D036E" w:rsidRPr="0027088D">
        <w:t xml:space="preserve">coral secrete </w:t>
      </w:r>
      <w:r w:rsidR="00505DD8" w:rsidRPr="0027088D">
        <w:t>on their surface,</w:t>
      </w:r>
      <w:r w:rsidR="008D036E" w:rsidRPr="0027088D">
        <w:t xml:space="preserve"> comprising</w:t>
      </w:r>
      <w:r w:rsidR="00505DD8" w:rsidRPr="0027088D">
        <w:t xml:space="preserve"> the surface mucopolysaccharide layer (SML)</w:t>
      </w:r>
      <w:r w:rsidR="008D036E" w:rsidRPr="0027088D">
        <w:t xml:space="preserve"> (Ritchie and Smith 2004)</w:t>
      </w:r>
      <w:r w:rsidR="004649A5" w:rsidRPr="0027088D">
        <w:t>; s</w:t>
      </w:r>
      <w:r w:rsidR="00B14C35" w:rsidRPr="0027088D">
        <w:t xml:space="preserve">ome of </w:t>
      </w:r>
      <w:r w:rsidR="004649A5" w:rsidRPr="0027088D">
        <w:t xml:space="preserve">which </w:t>
      </w:r>
      <w:r w:rsidR="00EB7ADA" w:rsidRPr="0027088D">
        <w:t xml:space="preserve">have been found to aid the host coral in </w:t>
      </w:r>
      <w:r w:rsidR="00A67331" w:rsidRPr="0027088D">
        <w:t>cycling</w:t>
      </w:r>
      <w:r w:rsidR="005644A9" w:rsidRPr="0027088D">
        <w:t xml:space="preserve"> nutrients and/or </w:t>
      </w:r>
      <w:r w:rsidR="00EB7ADA" w:rsidRPr="0027088D">
        <w:t>producing antibiotic compounds against coral pathogens (Le</w:t>
      </w:r>
      <w:r w:rsidR="00A67331" w:rsidRPr="0027088D">
        <w:t>sser et al 2007; Ritchie 2006).</w:t>
      </w:r>
      <w:r w:rsidR="000868CF" w:rsidRPr="0027088D">
        <w:t xml:space="preserve"> </w:t>
      </w:r>
      <w:r w:rsidR="000A462E" w:rsidRPr="0027088D">
        <w:t xml:space="preserve">In particular, Olson and Lesser </w:t>
      </w:r>
      <w:r w:rsidR="004649A5" w:rsidRPr="0027088D">
        <w:t xml:space="preserve">(2013) </w:t>
      </w:r>
      <w:r w:rsidR="000A462E" w:rsidRPr="0027088D">
        <w:t xml:space="preserve">have analyzed the diversity of </w:t>
      </w:r>
      <w:r w:rsidR="006B14C1" w:rsidRPr="0027088D">
        <w:t>nitrogen-fixing bacteria in</w:t>
      </w:r>
      <w:r w:rsidR="00B14C35" w:rsidRPr="0027088D">
        <w:t xml:space="preserve"> the SML community of </w:t>
      </w:r>
      <w:r w:rsidR="00B14C35" w:rsidRPr="0027088D">
        <w:rPr>
          <w:i/>
        </w:rPr>
        <w:t>M. cavernosa</w:t>
      </w:r>
      <w:r w:rsidR="000A462E" w:rsidRPr="0027088D">
        <w:t xml:space="preserve">. </w:t>
      </w:r>
      <w:r w:rsidR="006B14C1" w:rsidRPr="0027088D">
        <w:t xml:space="preserve"> </w:t>
      </w:r>
      <w:r w:rsidR="000A462E" w:rsidRPr="0027088D">
        <w:t xml:space="preserve">Other studies have detected </w:t>
      </w:r>
      <w:r w:rsidR="006B14C1" w:rsidRPr="0027088D">
        <w:t>dissolved inorganic p</w:t>
      </w:r>
      <w:r w:rsidR="000A462E" w:rsidRPr="0027088D">
        <w:t>hosphate consumption by bacteria</w:t>
      </w:r>
      <w:r w:rsidR="006B14C1" w:rsidRPr="0027088D">
        <w:t xml:space="preserve"> in the SML community of </w:t>
      </w:r>
      <w:r w:rsidR="006B14C1" w:rsidRPr="0027088D">
        <w:rPr>
          <w:i/>
        </w:rPr>
        <w:t>Acropora spp</w:t>
      </w:r>
      <w:r w:rsidR="006B14C1" w:rsidRPr="0027088D">
        <w:t xml:space="preserve">. </w:t>
      </w:r>
      <w:r w:rsidR="006430D6" w:rsidRPr="0027088D">
        <w:t xml:space="preserve">(Nakajima et al 2014). </w:t>
      </w:r>
      <w:r w:rsidR="008D036E" w:rsidRPr="0027088D">
        <w:t xml:space="preserve">Roughly </w:t>
      </w:r>
      <w:r w:rsidR="004C5E64" w:rsidRPr="0027088D">
        <w:t xml:space="preserve">25% of culturable bacterial strains in the SML communities of stony corals have shown bioactivity against bacterial species </w:t>
      </w:r>
      <w:r w:rsidR="004C5E64" w:rsidRPr="0027088D">
        <w:rPr>
          <w:i/>
        </w:rPr>
        <w:t>E. coli</w:t>
      </w:r>
      <w:r w:rsidR="004C5E64" w:rsidRPr="0027088D">
        <w:t xml:space="preserve"> and </w:t>
      </w:r>
      <w:r w:rsidR="004C5E64" w:rsidRPr="0027088D">
        <w:rPr>
          <w:i/>
        </w:rPr>
        <w:t>B. cereus</w:t>
      </w:r>
      <w:r w:rsidR="004649A5" w:rsidRPr="0027088D">
        <w:t>, which have been implicated as threats to coral health</w:t>
      </w:r>
      <w:r w:rsidR="004C5E64" w:rsidRPr="0027088D">
        <w:t xml:space="preserve"> (Shnit-Orland and Kushmaro</w:t>
      </w:r>
      <w:r w:rsidR="00706011" w:rsidRPr="0027088D">
        <w:t xml:space="preserve"> 2009). Due to the nutrient cycling and defensive roles of SML communities, t</w:t>
      </w:r>
      <w:r w:rsidR="004C5E64" w:rsidRPr="0027088D">
        <w:t xml:space="preserve">he composition of </w:t>
      </w:r>
      <w:r w:rsidR="00706011" w:rsidRPr="0027088D">
        <w:t>this community</w:t>
      </w:r>
      <w:r w:rsidR="008D036E" w:rsidRPr="0027088D">
        <w:t xml:space="preserve"> can suggest the state of </w:t>
      </w:r>
      <w:r w:rsidR="00706011" w:rsidRPr="0027088D">
        <w:t>a coral colony’s health.</w:t>
      </w:r>
      <w:r w:rsidR="001A1187">
        <w:t xml:space="preserve"> </w:t>
      </w:r>
    </w:p>
    <w:p w:rsidR="00B774C2" w:rsidRPr="0027088D" w:rsidRDefault="008A0C33" w:rsidP="00963E02">
      <w:pPr>
        <w:ind w:firstLine="720"/>
        <w:jc w:val="left"/>
      </w:pPr>
      <w:r>
        <w:t xml:space="preserve">As proposed </w:t>
      </w:r>
      <w:r w:rsidR="001A1187">
        <w:t>in the Coral Probiotic Hypothesis, environmental conditions</w:t>
      </w:r>
      <w:r w:rsidR="004E342D">
        <w:t xml:space="preserve"> </w:t>
      </w:r>
      <w:r w:rsidR="001A1187">
        <w:t xml:space="preserve">influence the assemblage of associating microbes, through selection of those that most benefit the host coral. </w:t>
      </w:r>
      <w:r w:rsidR="001A1187" w:rsidRPr="001A1187">
        <w:t xml:space="preserve">This </w:t>
      </w:r>
      <w:r w:rsidR="001A1187">
        <w:t>relationship between the environment and microbial</w:t>
      </w:r>
      <w:r w:rsidR="001A1187" w:rsidRPr="001A1187">
        <w:t xml:space="preserve"> community</w:t>
      </w:r>
      <w:r>
        <w:t xml:space="preserve"> means that microbial community species composition </w:t>
      </w:r>
      <w:r w:rsidR="004E342D">
        <w:t>can</w:t>
      </w:r>
      <w:r w:rsidR="001A1187" w:rsidRPr="001A1187">
        <w:t xml:space="preserve"> differ across coral host species, time, and location</w:t>
      </w:r>
      <w:r>
        <w:t xml:space="preserve"> (Reshef et al 2006)</w:t>
      </w:r>
      <w:r w:rsidR="001A1187" w:rsidRPr="001A1187">
        <w:t xml:space="preserve">. </w:t>
      </w:r>
      <w:r>
        <w:t xml:space="preserve">Recent studies have corroborated this hypothesis. </w:t>
      </w:r>
      <w:r w:rsidR="00C33EEB" w:rsidRPr="0027088D">
        <w:t>From Spring to Fall, t</w:t>
      </w:r>
      <w:r w:rsidR="00F74A65" w:rsidRPr="0027088D">
        <w:t xml:space="preserve">he microbiome of the mounding coral </w:t>
      </w:r>
      <w:r w:rsidR="00F74A65" w:rsidRPr="0027088D">
        <w:rPr>
          <w:i/>
        </w:rPr>
        <w:t>Orbicella faveolata</w:t>
      </w:r>
      <w:r w:rsidR="00F74A65" w:rsidRPr="0027088D">
        <w:t xml:space="preserve"> has been found to </w:t>
      </w:r>
      <w:r w:rsidR="00B51D7F" w:rsidRPr="0027088D">
        <w:t>significantly shift between</w:t>
      </w:r>
      <w:r w:rsidR="00C33EEB" w:rsidRPr="0027088D">
        <w:t xml:space="preserve"> </w:t>
      </w:r>
      <w:r w:rsidR="00F74A65" w:rsidRPr="0027088D">
        <w:t>seasons (Kimes et al 2013).</w:t>
      </w:r>
      <w:r w:rsidR="00C33EEB" w:rsidRPr="0027088D">
        <w:t xml:space="preserve"> In the South China Sea, t</w:t>
      </w:r>
      <w:r w:rsidR="00D23D24" w:rsidRPr="0027088D">
        <w:t xml:space="preserve">he microbiota of the </w:t>
      </w:r>
      <w:r w:rsidR="00D23D24" w:rsidRPr="0027088D">
        <w:rPr>
          <w:i/>
        </w:rPr>
        <w:t>Galaxea astreata</w:t>
      </w:r>
      <w:r w:rsidR="00C33EEB" w:rsidRPr="0027088D">
        <w:t xml:space="preserve"> colonies from two different sites contrasted each other considerably</w:t>
      </w:r>
      <w:r w:rsidR="00D23D24" w:rsidRPr="0027088D">
        <w:t xml:space="preserve">. </w:t>
      </w:r>
      <w:r w:rsidR="00BF47CE" w:rsidRPr="0027088D">
        <w:t xml:space="preserve">During the 2010 thermal anomaly in the Caribbean, microbial communities </w:t>
      </w:r>
      <w:r w:rsidR="00C33EEB" w:rsidRPr="0027088D">
        <w:t>residing in</w:t>
      </w:r>
      <w:r w:rsidR="00BF47CE" w:rsidRPr="0027088D">
        <w:t xml:space="preserve"> the sea fan coral </w:t>
      </w:r>
      <w:r w:rsidR="00BF47CE" w:rsidRPr="0027088D">
        <w:rPr>
          <w:i/>
        </w:rPr>
        <w:t>Gorgonia ventalina</w:t>
      </w:r>
      <w:r w:rsidR="00BF47CE" w:rsidRPr="0027088D">
        <w:t xml:space="preserve"> decreased in diversity throughout the bleaching event (Tracy et al 2015).</w:t>
      </w:r>
      <w:r w:rsidR="00B774C2" w:rsidRPr="0027088D">
        <w:t xml:space="preserve"> </w:t>
      </w:r>
    </w:p>
    <w:p w:rsidR="004E342D" w:rsidRDefault="00B774C2" w:rsidP="00963E02">
      <w:pPr>
        <w:ind w:firstLine="720"/>
        <w:jc w:val="left"/>
      </w:pPr>
      <w:r w:rsidRPr="0027088D">
        <w:t>Considering the</w:t>
      </w:r>
      <w:r w:rsidR="00C33EEB" w:rsidRPr="0027088D">
        <w:t xml:space="preserve"> potential</w:t>
      </w:r>
      <w:r w:rsidRPr="0027088D">
        <w:t xml:space="preserve"> impact</w:t>
      </w:r>
      <w:r w:rsidR="00C33EEB" w:rsidRPr="0027088D">
        <w:t>s</w:t>
      </w:r>
      <w:r w:rsidRPr="0027088D">
        <w:t xml:space="preserve"> environmental conditions can have on coral microbial communities</w:t>
      </w:r>
      <w:r w:rsidR="00C902D6" w:rsidRPr="0027088D">
        <w:t xml:space="preserve"> and the critical role of SML microbial communities in coral health</w:t>
      </w:r>
      <w:r w:rsidRPr="0027088D">
        <w:t>,</w:t>
      </w:r>
      <w:r w:rsidR="00C902D6" w:rsidRPr="0027088D">
        <w:t xml:space="preserve"> this study aimed to identify </w:t>
      </w:r>
      <w:r w:rsidRPr="0027088D">
        <w:t>the influence of discharge w</w:t>
      </w:r>
      <w:r w:rsidR="00C902D6" w:rsidRPr="0027088D">
        <w:t>ater on the SML microbial communities</w:t>
      </w:r>
      <w:r w:rsidRPr="0027088D">
        <w:t xml:space="preserve"> of </w:t>
      </w:r>
      <w:r w:rsidRPr="0027088D">
        <w:rPr>
          <w:i/>
        </w:rPr>
        <w:t>M. cavernosa</w:t>
      </w:r>
      <w:r w:rsidRPr="0027088D">
        <w:t xml:space="preserve"> colonies in the St. Lucie Reef at three sites.</w:t>
      </w:r>
      <w:r w:rsidR="00AF286B">
        <w:t xml:space="preserve"> Considering that</w:t>
      </w:r>
      <w:r w:rsidRPr="0027088D">
        <w:t xml:space="preserve"> </w:t>
      </w:r>
      <w:r w:rsidR="00AF286B">
        <w:t xml:space="preserve">microbes from the coral’s oral epidermis may have been introduced during sampling, the community analyzed in this study will be referred to as the surface community. </w:t>
      </w:r>
      <w:r w:rsidR="00C902D6" w:rsidRPr="0027088D">
        <w:t>The</w:t>
      </w:r>
      <w:r w:rsidR="00AF286B">
        <w:t xml:space="preserve"> surface</w:t>
      </w:r>
      <w:r w:rsidR="00C902D6" w:rsidRPr="0027088D">
        <w:t xml:space="preserve"> communities were compared between a time of</w:t>
      </w:r>
      <w:r w:rsidR="004E342D">
        <w:t xml:space="preserve"> low of </w:t>
      </w:r>
      <w:r w:rsidR="00C902D6" w:rsidRPr="0027088D">
        <w:t>level of discharge water, and high level of discharge water</w:t>
      </w:r>
      <w:r w:rsidR="00AF286B">
        <w:t xml:space="preserve">. </w:t>
      </w:r>
    </w:p>
    <w:p w:rsidR="00EB7ADA" w:rsidRPr="0027088D" w:rsidRDefault="00AF286B" w:rsidP="00963E02">
      <w:pPr>
        <w:ind w:firstLine="720"/>
        <w:jc w:val="left"/>
      </w:pPr>
      <w:r>
        <w:t>These</w:t>
      </w:r>
      <w:r w:rsidR="00C902D6" w:rsidRPr="0027088D">
        <w:t xml:space="preserve"> </w:t>
      </w:r>
      <w:r w:rsidR="00EB7ADA" w:rsidRPr="0027088D">
        <w:t xml:space="preserve">communities </w:t>
      </w:r>
      <w:r w:rsidR="00C902D6" w:rsidRPr="0027088D">
        <w:t>were characterized using</w:t>
      </w:r>
      <w:r w:rsidR="00EB7ADA" w:rsidRPr="0027088D">
        <w:t xml:space="preserve"> </w:t>
      </w:r>
      <w:r w:rsidR="004E342D">
        <w:t>length heterogeneity polymerase chain reaction (</w:t>
      </w:r>
      <w:r w:rsidR="00EB7ADA" w:rsidRPr="0027088D">
        <w:t>LH-PCR</w:t>
      </w:r>
      <w:r w:rsidR="004E342D">
        <w:t>)</w:t>
      </w:r>
      <w:r w:rsidR="00C902D6" w:rsidRPr="0027088D">
        <w:t xml:space="preserve"> to detect the presence and abundances of different species and</w:t>
      </w:r>
      <w:r w:rsidR="00B51D7F" w:rsidRPr="0027088D">
        <w:t>/or</w:t>
      </w:r>
      <w:r w:rsidR="00C902D6" w:rsidRPr="0027088D">
        <w:t xml:space="preserve"> groups of species of microbes. </w:t>
      </w:r>
      <w:r w:rsidR="008176E0">
        <w:t xml:space="preserve">Previous studies have shown LH-PCR is an accurate, useful method for comparing bacterial community compositions of coral mucus (Sekar et al 2006). </w:t>
      </w:r>
      <w:r w:rsidR="004E342D">
        <w:t>LH-PCR uses univ</w:t>
      </w:r>
      <w:r w:rsidR="00266475">
        <w:t>ersal primers to amplify hypervariable region V1 and V2</w:t>
      </w:r>
      <w:r w:rsidR="00744C81">
        <w:t xml:space="preserve"> of the 16S ribosomal D</w:t>
      </w:r>
      <w:r w:rsidR="004E342D">
        <w:t xml:space="preserve">NA in bacteria. The </w:t>
      </w:r>
      <w:r w:rsidR="00266475">
        <w:t>length, or number of base pairs</w:t>
      </w:r>
      <w:r w:rsidR="004E342D">
        <w:t xml:space="preserve">, of this amplified region </w:t>
      </w:r>
      <w:r w:rsidR="00744C81">
        <w:t>is specific to different taxons (Voss et al 2007)</w:t>
      </w:r>
      <w:r w:rsidR="00266475">
        <w:t>. This study will analyze the amplicon lengths to determine the composition of surface communities.</w:t>
      </w:r>
      <w:r w:rsidR="004E342D">
        <w:t xml:space="preserve"> </w:t>
      </w:r>
      <w:r w:rsidR="00EB7ADA" w:rsidRPr="0027088D">
        <w:t xml:space="preserve">By understanding </w:t>
      </w:r>
      <w:r w:rsidR="008176E0">
        <w:t>the degree of impact discharge water has on the</w:t>
      </w:r>
      <w:r w:rsidR="00C902D6" w:rsidRPr="0027088D">
        <w:t xml:space="preserve"> surface</w:t>
      </w:r>
      <w:r w:rsidR="008176E0">
        <w:t xml:space="preserve"> microbial communities</w:t>
      </w:r>
      <w:r w:rsidR="00C902D6" w:rsidRPr="0027088D">
        <w:t xml:space="preserve"> of</w:t>
      </w:r>
      <w:r w:rsidR="00C902D6" w:rsidRPr="0027088D">
        <w:rPr>
          <w:i/>
        </w:rPr>
        <w:t xml:space="preserve"> M . cavernosa</w:t>
      </w:r>
      <w:r w:rsidR="00C902D6" w:rsidRPr="0027088D">
        <w:t xml:space="preserve"> colonies</w:t>
      </w:r>
      <w:r w:rsidR="00EB7ADA" w:rsidRPr="0027088D">
        <w:t xml:space="preserve">, </w:t>
      </w:r>
      <w:r w:rsidR="00266475">
        <w:t xml:space="preserve">the health of </w:t>
      </w:r>
      <w:r w:rsidR="00266475" w:rsidRPr="00266475">
        <w:rPr>
          <w:i/>
        </w:rPr>
        <w:t>M. cavernosa</w:t>
      </w:r>
      <w:r w:rsidR="00266475">
        <w:t xml:space="preserve"> can be assessed for protective and restorative measures</w:t>
      </w:r>
      <w:r w:rsidR="00A423C9">
        <w:t>, such as possibly providing evidence for the need of stormwater treatment plants.</w:t>
      </w:r>
    </w:p>
    <w:p w:rsidR="00C902D6" w:rsidRPr="0027088D" w:rsidRDefault="00C902D6" w:rsidP="00963E02">
      <w:pPr>
        <w:ind w:firstLine="720"/>
        <w:jc w:val="left"/>
      </w:pPr>
    </w:p>
    <w:p w:rsidR="006B0366" w:rsidRDefault="006B0366" w:rsidP="00963E02">
      <w:pPr>
        <w:rPr>
          <w:smallCaps/>
        </w:rPr>
      </w:pPr>
      <w:r w:rsidRPr="0027088D">
        <w:rPr>
          <w:smallCaps/>
        </w:rPr>
        <w:t>Methods</w:t>
      </w:r>
    </w:p>
    <w:p w:rsidR="00041731" w:rsidRPr="0027088D" w:rsidRDefault="00041731" w:rsidP="00963E02">
      <w:pPr>
        <w:rPr>
          <w:smallCaps/>
        </w:rPr>
      </w:pPr>
    </w:p>
    <w:p w:rsidR="00807E56" w:rsidRDefault="006B0366" w:rsidP="00963E02">
      <w:pPr>
        <w:jc w:val="left"/>
      </w:pPr>
      <w:r w:rsidRPr="0027088D">
        <w:rPr>
          <w:b/>
        </w:rPr>
        <w:t>Sample collection.</w:t>
      </w:r>
      <w:r w:rsidR="007C5ABF">
        <w:t xml:space="preserve"> Discharge from the canal C-44 is the primary source of the fluctuations in discharge water in the St. Lucie Reef. Thus, flow rate of water in the C-44 canal was used to determine the time points of sample collection.</w:t>
      </w:r>
      <w:r w:rsidRPr="0027088D">
        <w:t xml:space="preserve"> </w:t>
      </w:r>
      <w:r w:rsidRPr="0027088D">
        <w:rPr>
          <w:i/>
        </w:rPr>
        <w:t>M. cavernosa</w:t>
      </w:r>
      <w:r w:rsidRPr="0027088D">
        <w:t xml:space="preserve"> mucus samp</w:t>
      </w:r>
      <w:r w:rsidR="007C5ABF">
        <w:t>les used in this study were</w:t>
      </w:r>
      <w:r w:rsidRPr="0027088D">
        <w:t xml:space="preserve"> collected from the St. Lucie reef at two time points</w:t>
      </w:r>
      <w:r w:rsidR="007C5ABF">
        <w:t xml:space="preserve">. Samples collected on August 8, 2013 represent the coral surface </w:t>
      </w:r>
      <w:r w:rsidR="007C5ABF">
        <w:lastRenderedPageBreak/>
        <w:t xml:space="preserve">community composition during </w:t>
      </w:r>
      <w:r w:rsidRPr="0027088D">
        <w:t>hi</w:t>
      </w:r>
      <w:r w:rsidR="007C5ABF">
        <w:t xml:space="preserve">gh levels of freshwater discharge </w:t>
      </w:r>
      <w:r w:rsidR="0062238E" w:rsidRPr="0027088D">
        <w:t>(</w:t>
      </w:r>
      <w:r w:rsidR="00266475">
        <w:t xml:space="preserve">5671 cfs, </w:t>
      </w:r>
      <w:r w:rsidR="0062238E" w:rsidRPr="0027088D">
        <w:t>n=1</w:t>
      </w:r>
      <w:r w:rsidR="00A5260C" w:rsidRPr="0027088D">
        <w:t>3</w:t>
      </w:r>
      <w:r w:rsidR="0062238E" w:rsidRPr="0027088D">
        <w:t>)</w:t>
      </w:r>
      <w:r w:rsidR="007C5ABF">
        <w:t xml:space="preserve">. Those collected on </w:t>
      </w:r>
      <w:r w:rsidRPr="0027088D">
        <w:t>June</w:t>
      </w:r>
      <w:r w:rsidR="001333CA" w:rsidRPr="0027088D">
        <w:t xml:space="preserve"> 12</w:t>
      </w:r>
      <w:r w:rsidRPr="0027088D">
        <w:t xml:space="preserve"> 2014,</w:t>
      </w:r>
      <w:r w:rsidR="007C5ABF">
        <w:t xml:space="preserve"> represent the composition during</w:t>
      </w:r>
      <w:r w:rsidRPr="0027088D">
        <w:t xml:space="preserve"> low level</w:t>
      </w:r>
      <w:r w:rsidR="007C5ABF">
        <w:t>s</w:t>
      </w:r>
      <w:r w:rsidRPr="0027088D">
        <w:t xml:space="preserve"> of freshwater discharge</w:t>
      </w:r>
      <w:r w:rsidR="00266475">
        <w:t xml:space="preserve"> (0 cfs,</w:t>
      </w:r>
      <w:r w:rsidRPr="0027088D">
        <w:t xml:space="preserve"> </w:t>
      </w:r>
      <w:r w:rsidR="0062238E" w:rsidRPr="0027088D">
        <w:t>n=1</w:t>
      </w:r>
      <w:r w:rsidR="00A5260C" w:rsidRPr="0027088D">
        <w:t>2</w:t>
      </w:r>
      <w:r w:rsidR="0062238E" w:rsidRPr="0027088D">
        <w:t>)</w:t>
      </w:r>
      <w:r w:rsidR="00266475">
        <w:t xml:space="preserve"> </w:t>
      </w:r>
      <w:r w:rsidR="001333CA" w:rsidRPr="0027088D">
        <w:t>(</w:t>
      </w:r>
      <w:r w:rsidR="001333CA" w:rsidRPr="0027088D">
        <w:rPr>
          <w:b/>
        </w:rPr>
        <w:t>Figure 1</w:t>
      </w:r>
      <w:r w:rsidR="001333CA" w:rsidRPr="0027088D">
        <w:t xml:space="preserve">). Multiple colonies were sampled from </w:t>
      </w:r>
      <w:r w:rsidR="00D91D83" w:rsidRPr="0027088D">
        <w:t xml:space="preserve">three sites within the </w:t>
      </w:r>
      <w:r w:rsidR="001333CA" w:rsidRPr="0027088D">
        <w:t xml:space="preserve">St. Lucie Reef, </w:t>
      </w:r>
      <w:r w:rsidR="00D91D83" w:rsidRPr="0027088D">
        <w:t xml:space="preserve">Central, </w:t>
      </w:r>
      <w:r w:rsidR="009D4697" w:rsidRPr="0027088D">
        <w:t>Ledge</w:t>
      </w:r>
      <w:r w:rsidR="00D91D83" w:rsidRPr="0027088D">
        <w:t xml:space="preserve">, and </w:t>
      </w:r>
      <w:r w:rsidR="009D4697" w:rsidRPr="0027088D">
        <w:t>South</w:t>
      </w:r>
      <w:r w:rsidR="001333CA" w:rsidRPr="0027088D">
        <w:t>, at each discharge level</w:t>
      </w:r>
      <w:r w:rsidR="009D4697" w:rsidRPr="0027088D">
        <w:t xml:space="preserve"> (</w:t>
      </w:r>
      <w:r w:rsidR="001333CA" w:rsidRPr="0027088D">
        <w:rPr>
          <w:b/>
        </w:rPr>
        <w:t>Figure 2, Table 1</w:t>
      </w:r>
      <w:r w:rsidR="00A65E84" w:rsidRPr="0027088D">
        <w:rPr>
          <w:b/>
        </w:rPr>
        <w:t>. Table 2</w:t>
      </w:r>
      <w:r w:rsidR="001333CA" w:rsidRPr="0027088D">
        <w:t>).</w:t>
      </w:r>
      <w:r w:rsidR="001333CA" w:rsidRPr="0027088D">
        <w:rPr>
          <w:b/>
        </w:rPr>
        <w:t xml:space="preserve"> </w:t>
      </w:r>
      <w:r w:rsidR="00A5260C" w:rsidRPr="0027088D">
        <w:t>M</w:t>
      </w:r>
      <w:r w:rsidRPr="0027088D">
        <w:t>ucus was taken from the coral colon</w:t>
      </w:r>
      <w:r w:rsidR="00D91D83" w:rsidRPr="0027088D">
        <w:t>ies with syringes and stored with seawater in 15mL tubes</w:t>
      </w:r>
      <w:r w:rsidRPr="0027088D">
        <w:t xml:space="preserve"> at -20°C. </w:t>
      </w:r>
    </w:p>
    <w:p w:rsidR="00807E56" w:rsidRDefault="001C17A4" w:rsidP="00807E56">
      <w:pPr>
        <w:keepNext/>
        <w:jc w:val="left"/>
      </w:pPr>
      <w:r>
        <w:rPr>
          <w:noProof/>
        </w:rPr>
        <mc:AlternateContent>
          <mc:Choice Requires="wps">
            <w:drawing>
              <wp:anchor distT="0" distB="0" distL="114300" distR="114300" simplePos="0" relativeHeight="251661312" behindDoc="0" locked="0" layoutInCell="1" allowOverlap="1">
                <wp:simplePos x="0" y="0"/>
                <wp:positionH relativeFrom="column">
                  <wp:posOffset>3867151</wp:posOffset>
                </wp:positionH>
                <wp:positionV relativeFrom="paragraph">
                  <wp:posOffset>2128520</wp:posOffset>
                </wp:positionV>
                <wp:extent cx="190500" cy="238125"/>
                <wp:effectExtent l="0" t="0" r="76200" b="47625"/>
                <wp:wrapNone/>
                <wp:docPr id="4" name="Straight Arrow Connector 4"/>
                <wp:cNvGraphicFramePr/>
                <a:graphic xmlns:a="http://schemas.openxmlformats.org/drawingml/2006/main">
                  <a:graphicData uri="http://schemas.microsoft.com/office/word/2010/wordprocessingShape">
                    <wps:wsp>
                      <wps:cNvCnPr/>
                      <wps:spPr>
                        <a:xfrm>
                          <a:off x="0" y="0"/>
                          <a:ext cx="190500" cy="238125"/>
                        </a:xfrm>
                        <a:prstGeom prst="straightConnector1">
                          <a:avLst/>
                        </a:prstGeom>
                        <a:ln w="19050">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6713C0" id="_x0000_t32" coordsize="21600,21600" o:spt="32" o:oned="t" path="m,l21600,21600e" filled="f">
                <v:path arrowok="t" fillok="f" o:connecttype="none"/>
                <o:lock v:ext="edit" shapetype="t"/>
              </v:shapetype>
              <v:shape id="Straight Arrow Connector 4" o:spid="_x0000_s1026" type="#_x0000_t32" style="position:absolute;margin-left:304.5pt;margin-top:167.6pt;width:1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" strokecolor="#1f4d78 [1604]" strokeweight="1.5pt">
                <v:stroke endarrow="block" joinstyle="miter"/>
              </v:shape>
            </w:pict>
          </mc:Fallback>
        </mc:AlternateContent>
      </w:r>
      <w:r w:rsidR="00807E56">
        <w:rPr>
          <w:noProof/>
        </w:rPr>
        <w:drawing>
          <wp:inline distT="0" distB="0" distL="0" distR="0" wp14:anchorId="6E55E9D7" wp14:editId="70F8C9AD">
            <wp:extent cx="59436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charge flow graph.JPG"/>
                    <pic:cNvPicPr/>
                  </pic:nvPicPr>
                  <pic:blipFill>
                    <a:blip r:embed="rId7">
                      <a:extLst>
                        <a:ext uri="{28A0092B-C50C-407E-A947-70E740481C1C}">
                          <a14:useLocalDpi xmlns:a14="http://schemas.microsoft.com/office/drawing/2010/main" val="0"/>
                        </a:ext>
                      </a:extLst>
                    </a:blip>
                    <a:stretch>
                      <a:fillRect/>
                    </a:stretch>
                  </pic:blipFill>
                  <pic:spPr>
                    <a:xfrm>
                      <a:off x="0" y="0"/>
                      <a:ext cx="5943600" cy="2743200"/>
                    </a:xfrm>
                    <a:prstGeom prst="rect">
                      <a:avLst/>
                    </a:prstGeom>
                  </pic:spPr>
                </pic:pic>
              </a:graphicData>
            </a:graphic>
          </wp:inline>
        </w:drawing>
      </w:r>
    </w:p>
    <w:p w:rsidR="00807E56" w:rsidRPr="005D434C" w:rsidRDefault="00807E56" w:rsidP="00807E56">
      <w:pPr>
        <w:pStyle w:val="Caption"/>
        <w:jc w:val="left"/>
        <w:rPr>
          <w:i w:val="0"/>
          <w:color w:val="auto"/>
          <w:sz w:val="22"/>
          <w:szCs w:val="22"/>
        </w:rPr>
      </w:pPr>
      <w:r w:rsidRPr="005D434C">
        <w:rPr>
          <w:b/>
          <w:i w:val="0"/>
          <w:color w:val="auto"/>
          <w:sz w:val="22"/>
          <w:szCs w:val="22"/>
        </w:rPr>
        <w:t xml:space="preserve">Figure </w:t>
      </w:r>
      <w:r w:rsidRPr="005D434C">
        <w:rPr>
          <w:b/>
          <w:i w:val="0"/>
          <w:color w:val="auto"/>
          <w:sz w:val="22"/>
          <w:szCs w:val="22"/>
        </w:rPr>
        <w:fldChar w:fldCharType="begin"/>
      </w:r>
      <w:r w:rsidRPr="005D434C">
        <w:rPr>
          <w:b/>
          <w:i w:val="0"/>
          <w:color w:val="auto"/>
          <w:sz w:val="22"/>
          <w:szCs w:val="22"/>
        </w:rPr>
        <w:instrText xml:space="preserve"> SEQ Figure \* ARABIC </w:instrText>
      </w:r>
      <w:r w:rsidRPr="005D434C">
        <w:rPr>
          <w:b/>
          <w:i w:val="0"/>
          <w:color w:val="auto"/>
          <w:sz w:val="22"/>
          <w:szCs w:val="22"/>
        </w:rPr>
        <w:fldChar w:fldCharType="separate"/>
      </w:r>
      <w:r w:rsidR="001C17A4">
        <w:rPr>
          <w:b/>
          <w:i w:val="0"/>
          <w:noProof/>
          <w:color w:val="auto"/>
          <w:sz w:val="22"/>
          <w:szCs w:val="22"/>
        </w:rPr>
        <w:t>1</w:t>
      </w:r>
      <w:r w:rsidRPr="005D434C">
        <w:rPr>
          <w:b/>
          <w:i w:val="0"/>
          <w:color w:val="auto"/>
          <w:sz w:val="22"/>
          <w:szCs w:val="22"/>
        </w:rPr>
        <w:fldChar w:fldCharType="end"/>
      </w:r>
      <w:r w:rsidRPr="005D434C">
        <w:rPr>
          <w:i w:val="0"/>
          <w:color w:val="auto"/>
          <w:sz w:val="22"/>
          <w:szCs w:val="22"/>
        </w:rPr>
        <w:t xml:space="preserve"> Discharge flow level fro</w:t>
      </w:r>
      <w:bookmarkStart w:id="0" w:name="_GoBack"/>
      <w:bookmarkEnd w:id="0"/>
      <w:r w:rsidRPr="005D434C">
        <w:rPr>
          <w:i w:val="0"/>
          <w:color w:val="auto"/>
          <w:sz w:val="22"/>
          <w:szCs w:val="22"/>
        </w:rPr>
        <w:t>m 1/13 to 2/15, cfs = cubic feet per second</w:t>
      </w:r>
    </w:p>
    <w:p w:rsidR="007C5ABF" w:rsidRPr="00807E56" w:rsidRDefault="007C5ABF" w:rsidP="007C5ABF">
      <w:pPr>
        <w:jc w:val="both"/>
      </w:pPr>
    </w:p>
    <w:p w:rsidR="00807E56" w:rsidRDefault="00807E56" w:rsidP="00807E56">
      <w:pPr>
        <w:keepNext/>
        <w:jc w:val="left"/>
      </w:pPr>
    </w:p>
    <w:p w:rsidR="00807E56" w:rsidRDefault="00807E56" w:rsidP="00807E56">
      <w:pPr>
        <w:keepNext/>
        <w:jc w:val="left"/>
      </w:pPr>
    </w:p>
    <w:p w:rsidR="00AF286B" w:rsidRDefault="009D4697" w:rsidP="00AF286B">
      <w:pPr>
        <w:keepNext/>
        <w:jc w:val="left"/>
      </w:pPr>
      <w:r w:rsidRPr="0027088D">
        <w:rPr>
          <w:noProof/>
        </w:rPr>
        <w:drawing>
          <wp:inline distT="0" distB="0" distL="0" distR="0" wp14:anchorId="7A834FDD" wp14:editId="1A9BCF18">
            <wp:extent cx="4037837" cy="32289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 SLR map with sites (1).tif"/>
                    <pic:cNvPicPr/>
                  </pic:nvPicPr>
                  <pic:blipFill>
                    <a:blip r:embed="rId8">
                      <a:extLst>
                        <a:ext uri="{28A0092B-C50C-407E-A947-70E740481C1C}">
                          <a14:useLocalDpi xmlns:a14="http://schemas.microsoft.com/office/drawing/2010/main" val="0"/>
                        </a:ext>
                      </a:extLst>
                    </a:blip>
                    <a:stretch>
                      <a:fillRect/>
                    </a:stretch>
                  </pic:blipFill>
                  <pic:spPr>
                    <a:xfrm>
                      <a:off x="0" y="0"/>
                      <a:ext cx="4052652" cy="3240822"/>
                    </a:xfrm>
                    <a:prstGeom prst="rect">
                      <a:avLst/>
                    </a:prstGeom>
                  </pic:spPr>
                </pic:pic>
              </a:graphicData>
            </a:graphic>
          </wp:inline>
        </w:drawing>
      </w:r>
    </w:p>
    <w:p w:rsidR="009D4697" w:rsidRDefault="00AF286B" w:rsidP="00AF286B">
      <w:pPr>
        <w:pStyle w:val="Caption"/>
        <w:jc w:val="left"/>
        <w:rPr>
          <w:i w:val="0"/>
          <w:color w:val="auto"/>
          <w:sz w:val="22"/>
        </w:rPr>
      </w:pPr>
      <w:r w:rsidRPr="005D434C">
        <w:rPr>
          <w:b/>
          <w:i w:val="0"/>
          <w:color w:val="auto"/>
          <w:sz w:val="22"/>
        </w:rPr>
        <w:t xml:space="preserve">Figure </w:t>
      </w:r>
      <w:r w:rsidR="00807E56" w:rsidRPr="005D434C">
        <w:rPr>
          <w:b/>
          <w:i w:val="0"/>
          <w:color w:val="auto"/>
          <w:sz w:val="22"/>
        </w:rPr>
        <w:fldChar w:fldCharType="begin"/>
      </w:r>
      <w:r w:rsidR="00807E56" w:rsidRPr="005D434C">
        <w:rPr>
          <w:b/>
          <w:i w:val="0"/>
          <w:color w:val="auto"/>
          <w:sz w:val="22"/>
        </w:rPr>
        <w:instrText xml:space="preserve"> SEQ Figure \* ARABIC </w:instrText>
      </w:r>
      <w:r w:rsidR="00807E56" w:rsidRPr="005D434C">
        <w:rPr>
          <w:b/>
          <w:i w:val="0"/>
          <w:color w:val="auto"/>
          <w:sz w:val="22"/>
        </w:rPr>
        <w:fldChar w:fldCharType="separate"/>
      </w:r>
      <w:r w:rsidR="001C17A4">
        <w:rPr>
          <w:b/>
          <w:i w:val="0"/>
          <w:noProof/>
          <w:color w:val="auto"/>
          <w:sz w:val="22"/>
        </w:rPr>
        <w:t>2</w:t>
      </w:r>
      <w:r w:rsidR="00807E56" w:rsidRPr="005D434C">
        <w:rPr>
          <w:b/>
          <w:i w:val="0"/>
          <w:color w:val="auto"/>
          <w:sz w:val="22"/>
        </w:rPr>
        <w:fldChar w:fldCharType="end"/>
      </w:r>
      <w:r w:rsidRPr="005D434C">
        <w:rPr>
          <w:b/>
          <w:i w:val="0"/>
          <w:color w:val="auto"/>
          <w:sz w:val="22"/>
        </w:rPr>
        <w:t>.</w:t>
      </w:r>
      <w:r w:rsidRPr="005D434C">
        <w:rPr>
          <w:i w:val="0"/>
          <w:color w:val="auto"/>
          <w:sz w:val="22"/>
        </w:rPr>
        <w:t xml:space="preserve"> Map of St. Lucie Reef sampling locations: Central, Ledge, South (</w:t>
      </w:r>
      <w:r w:rsidR="0051090B">
        <w:rPr>
          <w:i w:val="0"/>
          <w:color w:val="auto"/>
          <w:sz w:val="22"/>
        </w:rPr>
        <w:t>A</w:t>
      </w:r>
      <w:r w:rsidR="00041731">
        <w:rPr>
          <w:i w:val="0"/>
          <w:color w:val="auto"/>
          <w:sz w:val="22"/>
        </w:rPr>
        <w:t>rc</w:t>
      </w:r>
      <w:r w:rsidR="0051090B">
        <w:rPr>
          <w:i w:val="0"/>
          <w:color w:val="auto"/>
          <w:sz w:val="22"/>
        </w:rPr>
        <w:t>GIS</w:t>
      </w:r>
      <w:r w:rsidRPr="005D434C">
        <w:rPr>
          <w:i w:val="0"/>
          <w:color w:val="auto"/>
          <w:sz w:val="22"/>
        </w:rPr>
        <w:t>).</w:t>
      </w:r>
    </w:p>
    <w:p w:rsidR="00041731" w:rsidRPr="00041731" w:rsidRDefault="00041731" w:rsidP="00041731"/>
    <w:p w:rsidR="00F10E9F" w:rsidRPr="0027088D" w:rsidRDefault="00F10E9F" w:rsidP="00963E02">
      <w:pPr>
        <w:jc w:val="left"/>
      </w:pPr>
      <w:r w:rsidRPr="0027088D">
        <w:rPr>
          <w:b/>
        </w:rPr>
        <w:lastRenderedPageBreak/>
        <w:t>Table 1.</w:t>
      </w:r>
      <w:r w:rsidRPr="0027088D">
        <w:t xml:space="preserve"> Number of </w:t>
      </w:r>
      <w:r w:rsidRPr="0027088D">
        <w:rPr>
          <w:i/>
        </w:rPr>
        <w:t>M. cavernosa</w:t>
      </w:r>
      <w:r w:rsidRPr="0027088D">
        <w:t xml:space="preserve"> colonies sampled at each discharge level and location.</w:t>
      </w:r>
    </w:p>
    <w:tbl>
      <w:tblPr>
        <w:tblStyle w:val="TableGrid"/>
        <w:tblW w:w="0" w:type="auto"/>
        <w:tblLook w:val="04A0" w:firstRow="1" w:lastRow="0" w:firstColumn="1" w:lastColumn="0" w:noHBand="0" w:noVBand="1"/>
      </w:tblPr>
      <w:tblGrid>
        <w:gridCol w:w="2155"/>
        <w:gridCol w:w="1728"/>
        <w:gridCol w:w="1872"/>
        <w:gridCol w:w="1874"/>
        <w:gridCol w:w="1721"/>
      </w:tblGrid>
      <w:tr w:rsidR="00D91D83" w:rsidRPr="0027088D" w:rsidTr="00F10E9F">
        <w:tc>
          <w:tcPr>
            <w:tcW w:w="2155" w:type="dxa"/>
          </w:tcPr>
          <w:p w:rsidR="00D91D83" w:rsidRPr="0027088D" w:rsidRDefault="00D91D83" w:rsidP="00963E02">
            <w:pPr>
              <w:jc w:val="left"/>
            </w:pPr>
          </w:p>
        </w:tc>
        <w:tc>
          <w:tcPr>
            <w:tcW w:w="1728" w:type="dxa"/>
          </w:tcPr>
          <w:p w:rsidR="00D91D83" w:rsidRPr="0027088D" w:rsidRDefault="00D91D83" w:rsidP="00963E02">
            <w:pPr>
              <w:jc w:val="left"/>
            </w:pPr>
            <w:r w:rsidRPr="0027088D">
              <w:t>Central</w:t>
            </w:r>
          </w:p>
        </w:tc>
        <w:tc>
          <w:tcPr>
            <w:tcW w:w="1872" w:type="dxa"/>
          </w:tcPr>
          <w:p w:rsidR="00D91D83" w:rsidRPr="0027088D" w:rsidRDefault="00D91D83" w:rsidP="00963E02">
            <w:pPr>
              <w:jc w:val="left"/>
            </w:pPr>
            <w:r w:rsidRPr="0027088D">
              <w:t>South</w:t>
            </w:r>
          </w:p>
        </w:tc>
        <w:tc>
          <w:tcPr>
            <w:tcW w:w="1874" w:type="dxa"/>
          </w:tcPr>
          <w:p w:rsidR="00D91D83" w:rsidRPr="0027088D" w:rsidRDefault="00D91D83" w:rsidP="00963E02">
            <w:pPr>
              <w:jc w:val="left"/>
            </w:pPr>
            <w:r w:rsidRPr="0027088D">
              <w:t>Ledge</w:t>
            </w:r>
          </w:p>
        </w:tc>
        <w:tc>
          <w:tcPr>
            <w:tcW w:w="1721" w:type="dxa"/>
          </w:tcPr>
          <w:p w:rsidR="00D91D83" w:rsidRPr="0027088D" w:rsidRDefault="00D91D83" w:rsidP="00963E02">
            <w:pPr>
              <w:jc w:val="left"/>
            </w:pPr>
            <w:r w:rsidRPr="0027088D">
              <w:t>Total</w:t>
            </w:r>
          </w:p>
        </w:tc>
      </w:tr>
      <w:tr w:rsidR="00D91D83" w:rsidRPr="0027088D" w:rsidTr="00F10E9F">
        <w:tc>
          <w:tcPr>
            <w:tcW w:w="2155" w:type="dxa"/>
          </w:tcPr>
          <w:p w:rsidR="00D91D83" w:rsidRPr="0027088D" w:rsidRDefault="00F10E9F" w:rsidP="00963E02">
            <w:pPr>
              <w:jc w:val="left"/>
            </w:pPr>
            <w:r w:rsidRPr="0027088D">
              <w:t>Low Discharge Level</w:t>
            </w:r>
          </w:p>
        </w:tc>
        <w:tc>
          <w:tcPr>
            <w:tcW w:w="1728" w:type="dxa"/>
          </w:tcPr>
          <w:p w:rsidR="00D91D83" w:rsidRPr="0027088D" w:rsidRDefault="00F10E9F" w:rsidP="00963E02">
            <w:pPr>
              <w:jc w:val="left"/>
            </w:pPr>
            <w:r w:rsidRPr="0027088D">
              <w:t>4</w:t>
            </w:r>
          </w:p>
        </w:tc>
        <w:tc>
          <w:tcPr>
            <w:tcW w:w="1872" w:type="dxa"/>
          </w:tcPr>
          <w:p w:rsidR="00D91D83" w:rsidRPr="0027088D" w:rsidRDefault="00F10E9F" w:rsidP="00963E02">
            <w:pPr>
              <w:jc w:val="left"/>
            </w:pPr>
            <w:r w:rsidRPr="0027088D">
              <w:t>4</w:t>
            </w:r>
          </w:p>
        </w:tc>
        <w:tc>
          <w:tcPr>
            <w:tcW w:w="1874" w:type="dxa"/>
          </w:tcPr>
          <w:p w:rsidR="00D91D83" w:rsidRPr="0027088D" w:rsidRDefault="00F10E9F" w:rsidP="00963E02">
            <w:pPr>
              <w:jc w:val="left"/>
            </w:pPr>
            <w:r w:rsidRPr="0027088D">
              <w:t>4</w:t>
            </w:r>
          </w:p>
        </w:tc>
        <w:tc>
          <w:tcPr>
            <w:tcW w:w="1721" w:type="dxa"/>
          </w:tcPr>
          <w:p w:rsidR="00D91D83" w:rsidRPr="0027088D" w:rsidRDefault="00F10E9F" w:rsidP="00963E02">
            <w:pPr>
              <w:jc w:val="left"/>
            </w:pPr>
            <w:r w:rsidRPr="0027088D">
              <w:t>12</w:t>
            </w:r>
          </w:p>
        </w:tc>
      </w:tr>
      <w:tr w:rsidR="00D91D83" w:rsidRPr="0027088D" w:rsidTr="00F10E9F">
        <w:tc>
          <w:tcPr>
            <w:tcW w:w="2155" w:type="dxa"/>
          </w:tcPr>
          <w:p w:rsidR="00D91D83" w:rsidRPr="0027088D" w:rsidRDefault="00F10E9F" w:rsidP="00963E02">
            <w:pPr>
              <w:jc w:val="left"/>
            </w:pPr>
            <w:r w:rsidRPr="0027088D">
              <w:t>High Discharge Level</w:t>
            </w:r>
          </w:p>
        </w:tc>
        <w:tc>
          <w:tcPr>
            <w:tcW w:w="1728" w:type="dxa"/>
          </w:tcPr>
          <w:p w:rsidR="00D91D83" w:rsidRPr="0027088D" w:rsidRDefault="00F10E9F" w:rsidP="00963E02">
            <w:pPr>
              <w:jc w:val="left"/>
            </w:pPr>
            <w:r w:rsidRPr="0027088D">
              <w:t>3</w:t>
            </w:r>
          </w:p>
        </w:tc>
        <w:tc>
          <w:tcPr>
            <w:tcW w:w="1872" w:type="dxa"/>
          </w:tcPr>
          <w:p w:rsidR="00D91D83" w:rsidRPr="0027088D" w:rsidRDefault="00F10E9F" w:rsidP="00963E02">
            <w:pPr>
              <w:jc w:val="left"/>
            </w:pPr>
            <w:r w:rsidRPr="0027088D">
              <w:t>4</w:t>
            </w:r>
          </w:p>
        </w:tc>
        <w:tc>
          <w:tcPr>
            <w:tcW w:w="1874" w:type="dxa"/>
          </w:tcPr>
          <w:p w:rsidR="00D91D83" w:rsidRPr="0027088D" w:rsidRDefault="00F10E9F" w:rsidP="00963E02">
            <w:pPr>
              <w:jc w:val="left"/>
            </w:pPr>
            <w:r w:rsidRPr="0027088D">
              <w:t>6</w:t>
            </w:r>
          </w:p>
        </w:tc>
        <w:tc>
          <w:tcPr>
            <w:tcW w:w="1721" w:type="dxa"/>
          </w:tcPr>
          <w:p w:rsidR="00D91D83" w:rsidRPr="0027088D" w:rsidRDefault="00F10E9F" w:rsidP="00963E02">
            <w:pPr>
              <w:jc w:val="left"/>
            </w:pPr>
            <w:r w:rsidRPr="0027088D">
              <w:t>13</w:t>
            </w:r>
          </w:p>
        </w:tc>
      </w:tr>
      <w:tr w:rsidR="00F10E9F" w:rsidRPr="0027088D" w:rsidTr="00F10E9F">
        <w:tc>
          <w:tcPr>
            <w:tcW w:w="2155" w:type="dxa"/>
          </w:tcPr>
          <w:p w:rsidR="00F10E9F" w:rsidRPr="0027088D" w:rsidRDefault="00F10E9F" w:rsidP="00963E02">
            <w:pPr>
              <w:jc w:val="left"/>
            </w:pPr>
            <w:r w:rsidRPr="0027088D">
              <w:t>Total</w:t>
            </w:r>
          </w:p>
        </w:tc>
        <w:tc>
          <w:tcPr>
            <w:tcW w:w="1728" w:type="dxa"/>
          </w:tcPr>
          <w:p w:rsidR="00F10E9F" w:rsidRPr="0027088D" w:rsidRDefault="00F10E9F" w:rsidP="00963E02">
            <w:pPr>
              <w:jc w:val="left"/>
            </w:pPr>
            <w:r w:rsidRPr="0027088D">
              <w:t>7</w:t>
            </w:r>
          </w:p>
        </w:tc>
        <w:tc>
          <w:tcPr>
            <w:tcW w:w="1872" w:type="dxa"/>
          </w:tcPr>
          <w:p w:rsidR="00F10E9F" w:rsidRPr="0027088D" w:rsidRDefault="00F10E9F" w:rsidP="00963E02">
            <w:pPr>
              <w:jc w:val="left"/>
            </w:pPr>
            <w:r w:rsidRPr="0027088D">
              <w:t>8</w:t>
            </w:r>
          </w:p>
        </w:tc>
        <w:tc>
          <w:tcPr>
            <w:tcW w:w="1874" w:type="dxa"/>
          </w:tcPr>
          <w:p w:rsidR="00F10E9F" w:rsidRPr="0027088D" w:rsidRDefault="00F10E9F" w:rsidP="00963E02">
            <w:pPr>
              <w:jc w:val="left"/>
            </w:pPr>
            <w:r w:rsidRPr="0027088D">
              <w:t>10</w:t>
            </w:r>
          </w:p>
        </w:tc>
        <w:tc>
          <w:tcPr>
            <w:tcW w:w="1721" w:type="dxa"/>
          </w:tcPr>
          <w:p w:rsidR="00F10E9F" w:rsidRPr="0027088D" w:rsidRDefault="00F10E9F" w:rsidP="00963E02">
            <w:pPr>
              <w:jc w:val="left"/>
            </w:pPr>
            <w:r w:rsidRPr="0027088D">
              <w:t>25</w:t>
            </w:r>
          </w:p>
        </w:tc>
      </w:tr>
    </w:tbl>
    <w:p w:rsidR="00D91D83" w:rsidRPr="0027088D" w:rsidRDefault="00F10E9F" w:rsidP="00963E02">
      <w:pPr>
        <w:jc w:val="left"/>
      </w:pPr>
      <w:r w:rsidRPr="0027088D">
        <w:t>Low Discharge Level = low level of discharge water in June 2013</w:t>
      </w:r>
    </w:p>
    <w:p w:rsidR="00F10E9F" w:rsidRPr="0027088D" w:rsidRDefault="00F10E9F" w:rsidP="00963E02">
      <w:pPr>
        <w:jc w:val="left"/>
      </w:pPr>
      <w:r w:rsidRPr="0027088D">
        <w:t xml:space="preserve">High Discharge Level = high level of discharge water in August 2014 </w:t>
      </w:r>
    </w:p>
    <w:p w:rsidR="009D4697" w:rsidRPr="0027088D" w:rsidRDefault="009D4697" w:rsidP="00963E02">
      <w:pPr>
        <w:jc w:val="left"/>
      </w:pPr>
    </w:p>
    <w:p w:rsidR="00A65E84" w:rsidRPr="0027088D" w:rsidRDefault="00A65E84" w:rsidP="00963E02">
      <w:pPr>
        <w:jc w:val="left"/>
      </w:pPr>
      <w:r w:rsidRPr="0027088D">
        <w:rPr>
          <w:b/>
        </w:rPr>
        <w:t>Table 2.</w:t>
      </w:r>
      <w:r w:rsidRPr="0027088D">
        <w:t xml:space="preserve"> Colony identification label with corresponding discharge level exposure and location.</w:t>
      </w:r>
    </w:p>
    <w:tbl>
      <w:tblPr>
        <w:tblStyle w:val="TableGrid"/>
        <w:tblW w:w="0" w:type="auto"/>
        <w:tblLook w:val="04A0" w:firstRow="1" w:lastRow="0" w:firstColumn="1" w:lastColumn="0" w:noHBand="0" w:noVBand="1"/>
      </w:tblPr>
      <w:tblGrid>
        <w:gridCol w:w="1345"/>
        <w:gridCol w:w="1800"/>
        <w:gridCol w:w="1170"/>
      </w:tblGrid>
      <w:tr w:rsidR="00B51D7F" w:rsidRPr="0027088D" w:rsidTr="008E5A48">
        <w:tc>
          <w:tcPr>
            <w:tcW w:w="1345" w:type="dxa"/>
          </w:tcPr>
          <w:p w:rsidR="00B51D7F" w:rsidRPr="0027088D" w:rsidRDefault="00B51D7F" w:rsidP="00963E02">
            <w:pPr>
              <w:jc w:val="left"/>
            </w:pPr>
            <w:r w:rsidRPr="0027088D">
              <w:t>Colony ID</w:t>
            </w:r>
          </w:p>
        </w:tc>
        <w:tc>
          <w:tcPr>
            <w:tcW w:w="1800" w:type="dxa"/>
          </w:tcPr>
          <w:p w:rsidR="00B51D7F" w:rsidRPr="0027088D" w:rsidRDefault="00B51D7F" w:rsidP="00963E02">
            <w:pPr>
              <w:jc w:val="left"/>
            </w:pPr>
            <w:r w:rsidRPr="0027088D">
              <w:t>Discharge Level</w:t>
            </w:r>
          </w:p>
        </w:tc>
        <w:tc>
          <w:tcPr>
            <w:tcW w:w="1170" w:type="dxa"/>
          </w:tcPr>
          <w:p w:rsidR="00B51D7F" w:rsidRPr="0027088D" w:rsidRDefault="00B51D7F" w:rsidP="00963E02">
            <w:pPr>
              <w:jc w:val="left"/>
            </w:pPr>
            <w:r w:rsidRPr="0027088D">
              <w:t>Location</w:t>
            </w:r>
          </w:p>
        </w:tc>
      </w:tr>
      <w:tr w:rsidR="00B51D7F" w:rsidRPr="0027088D" w:rsidTr="008E5A48">
        <w:tc>
          <w:tcPr>
            <w:tcW w:w="1345" w:type="dxa"/>
          </w:tcPr>
          <w:p w:rsidR="00B51D7F" w:rsidRPr="0027088D" w:rsidRDefault="00A65E84" w:rsidP="00807E56">
            <w:pPr>
              <w:jc w:val="left"/>
            </w:pPr>
            <w:r w:rsidRPr="0027088D">
              <w:t>S</w:t>
            </w:r>
            <w:r w:rsidR="00807E56">
              <w:t>C</w:t>
            </w:r>
            <w:r w:rsidRPr="0027088D">
              <w:t>1</w:t>
            </w:r>
          </w:p>
        </w:tc>
        <w:tc>
          <w:tcPr>
            <w:tcW w:w="1800" w:type="dxa"/>
          </w:tcPr>
          <w:p w:rsidR="00B51D7F" w:rsidRPr="0027088D" w:rsidRDefault="00A65E84" w:rsidP="00963E02">
            <w:pPr>
              <w:jc w:val="left"/>
            </w:pPr>
            <w:r w:rsidRPr="0027088D">
              <w:t>Low</w:t>
            </w:r>
          </w:p>
        </w:tc>
        <w:tc>
          <w:tcPr>
            <w:tcW w:w="1170" w:type="dxa"/>
          </w:tcPr>
          <w:p w:rsidR="00B51D7F" w:rsidRPr="0027088D" w:rsidRDefault="00A65E84" w:rsidP="00963E02">
            <w:pPr>
              <w:jc w:val="left"/>
            </w:pPr>
            <w:r w:rsidRPr="0027088D">
              <w:t>Ledge</w:t>
            </w:r>
          </w:p>
        </w:tc>
      </w:tr>
      <w:tr w:rsidR="00A65E84" w:rsidRPr="0027088D" w:rsidTr="008E5A48">
        <w:tc>
          <w:tcPr>
            <w:tcW w:w="1345" w:type="dxa"/>
          </w:tcPr>
          <w:p w:rsidR="00A65E84" w:rsidRPr="0027088D" w:rsidRDefault="00807E56" w:rsidP="00A65E84">
            <w:pPr>
              <w:jc w:val="left"/>
            </w:pPr>
            <w:r>
              <w:t>SC</w:t>
            </w:r>
            <w:r w:rsidR="00A65E84" w:rsidRPr="0027088D">
              <w:t>3</w:t>
            </w:r>
          </w:p>
        </w:tc>
        <w:tc>
          <w:tcPr>
            <w:tcW w:w="1800" w:type="dxa"/>
          </w:tcPr>
          <w:p w:rsidR="00A65E84" w:rsidRPr="0027088D" w:rsidRDefault="00A65E84" w:rsidP="00A65E84">
            <w:pPr>
              <w:jc w:val="left"/>
            </w:pPr>
            <w:r w:rsidRPr="0027088D">
              <w:t>Low</w:t>
            </w:r>
          </w:p>
        </w:tc>
        <w:tc>
          <w:tcPr>
            <w:tcW w:w="1170" w:type="dxa"/>
          </w:tcPr>
          <w:p w:rsidR="00A65E84" w:rsidRPr="0027088D" w:rsidRDefault="00A65E84" w:rsidP="00A65E84">
            <w:pPr>
              <w:jc w:val="left"/>
            </w:pPr>
            <w:r w:rsidRPr="0027088D">
              <w:t>South</w:t>
            </w:r>
          </w:p>
        </w:tc>
      </w:tr>
      <w:tr w:rsidR="00A65E84" w:rsidRPr="0027088D" w:rsidTr="008E5A48">
        <w:tc>
          <w:tcPr>
            <w:tcW w:w="1345" w:type="dxa"/>
          </w:tcPr>
          <w:p w:rsidR="00A65E84" w:rsidRPr="0027088D" w:rsidRDefault="00A65E84" w:rsidP="00807E56">
            <w:pPr>
              <w:jc w:val="left"/>
            </w:pPr>
            <w:r w:rsidRPr="0027088D">
              <w:t>S</w:t>
            </w:r>
            <w:r w:rsidR="00807E56">
              <w:t>C</w:t>
            </w:r>
            <w:r w:rsidRPr="0027088D">
              <w:t>4</w:t>
            </w:r>
          </w:p>
        </w:tc>
        <w:tc>
          <w:tcPr>
            <w:tcW w:w="1800" w:type="dxa"/>
          </w:tcPr>
          <w:p w:rsidR="00A65E84" w:rsidRPr="0027088D" w:rsidRDefault="00A65E84" w:rsidP="00A65E84">
            <w:pPr>
              <w:jc w:val="left"/>
            </w:pPr>
            <w:r w:rsidRPr="0027088D">
              <w:t>Low</w:t>
            </w:r>
          </w:p>
        </w:tc>
        <w:tc>
          <w:tcPr>
            <w:tcW w:w="1170" w:type="dxa"/>
          </w:tcPr>
          <w:p w:rsidR="00A65E84" w:rsidRPr="0027088D" w:rsidRDefault="00A65E84" w:rsidP="00A65E84">
            <w:pPr>
              <w:jc w:val="left"/>
            </w:pPr>
            <w:r w:rsidRPr="0027088D">
              <w:t>Central</w:t>
            </w:r>
          </w:p>
        </w:tc>
      </w:tr>
      <w:tr w:rsidR="00A65E84" w:rsidRPr="0027088D" w:rsidTr="008E5A48">
        <w:tc>
          <w:tcPr>
            <w:tcW w:w="1345" w:type="dxa"/>
          </w:tcPr>
          <w:p w:rsidR="00A65E84" w:rsidRPr="0027088D" w:rsidRDefault="00807E56" w:rsidP="00A65E84">
            <w:pPr>
              <w:jc w:val="left"/>
            </w:pPr>
            <w:r>
              <w:t>SC</w:t>
            </w:r>
            <w:r w:rsidR="00A65E84" w:rsidRPr="0027088D">
              <w:t>5</w:t>
            </w:r>
          </w:p>
        </w:tc>
        <w:tc>
          <w:tcPr>
            <w:tcW w:w="1800" w:type="dxa"/>
          </w:tcPr>
          <w:p w:rsidR="00A65E84" w:rsidRPr="0027088D" w:rsidRDefault="00A65E84" w:rsidP="00A65E84">
            <w:pPr>
              <w:jc w:val="left"/>
            </w:pPr>
            <w:r w:rsidRPr="0027088D">
              <w:t>Low</w:t>
            </w:r>
          </w:p>
        </w:tc>
        <w:tc>
          <w:tcPr>
            <w:tcW w:w="1170" w:type="dxa"/>
          </w:tcPr>
          <w:p w:rsidR="00A65E84" w:rsidRPr="0027088D" w:rsidRDefault="00A65E84" w:rsidP="00A65E84">
            <w:pPr>
              <w:jc w:val="left"/>
            </w:pPr>
            <w:r w:rsidRPr="0027088D">
              <w:t>Ledge</w:t>
            </w:r>
          </w:p>
        </w:tc>
      </w:tr>
      <w:tr w:rsidR="00A65E84" w:rsidRPr="0027088D" w:rsidTr="008E5A48">
        <w:tc>
          <w:tcPr>
            <w:tcW w:w="1345" w:type="dxa"/>
          </w:tcPr>
          <w:p w:rsidR="00A65E84" w:rsidRPr="0027088D" w:rsidRDefault="00807E56" w:rsidP="00A65E84">
            <w:pPr>
              <w:jc w:val="left"/>
            </w:pPr>
            <w:r>
              <w:t>SC</w:t>
            </w:r>
            <w:r w:rsidR="00A65E84" w:rsidRPr="0027088D">
              <w:t>6</w:t>
            </w:r>
          </w:p>
        </w:tc>
        <w:tc>
          <w:tcPr>
            <w:tcW w:w="1800" w:type="dxa"/>
          </w:tcPr>
          <w:p w:rsidR="00A65E84" w:rsidRPr="0027088D" w:rsidRDefault="00A65E84" w:rsidP="00A65E84">
            <w:pPr>
              <w:jc w:val="left"/>
            </w:pPr>
            <w:r w:rsidRPr="0027088D">
              <w:t>Low</w:t>
            </w:r>
          </w:p>
        </w:tc>
        <w:tc>
          <w:tcPr>
            <w:tcW w:w="1170" w:type="dxa"/>
          </w:tcPr>
          <w:p w:rsidR="00A65E84" w:rsidRPr="0027088D" w:rsidRDefault="00A65E84" w:rsidP="00A65E84">
            <w:pPr>
              <w:jc w:val="left"/>
            </w:pPr>
            <w:r w:rsidRPr="0027088D">
              <w:t>South</w:t>
            </w:r>
          </w:p>
        </w:tc>
      </w:tr>
      <w:tr w:rsidR="00A65E84" w:rsidRPr="0027088D" w:rsidTr="008E5A48">
        <w:tc>
          <w:tcPr>
            <w:tcW w:w="1345" w:type="dxa"/>
          </w:tcPr>
          <w:p w:rsidR="00A65E84" w:rsidRPr="0027088D" w:rsidRDefault="00807E56" w:rsidP="00A65E84">
            <w:pPr>
              <w:jc w:val="left"/>
            </w:pPr>
            <w:r>
              <w:t>SC</w:t>
            </w:r>
            <w:r w:rsidR="00A65E84" w:rsidRPr="0027088D">
              <w:t>7</w:t>
            </w:r>
          </w:p>
        </w:tc>
        <w:tc>
          <w:tcPr>
            <w:tcW w:w="1800" w:type="dxa"/>
          </w:tcPr>
          <w:p w:rsidR="00A65E84" w:rsidRPr="0027088D" w:rsidRDefault="00A65E84" w:rsidP="00A65E84">
            <w:pPr>
              <w:jc w:val="left"/>
            </w:pPr>
            <w:r w:rsidRPr="0027088D">
              <w:t>Low</w:t>
            </w:r>
          </w:p>
        </w:tc>
        <w:tc>
          <w:tcPr>
            <w:tcW w:w="1170" w:type="dxa"/>
          </w:tcPr>
          <w:p w:rsidR="00A65E84" w:rsidRPr="0027088D" w:rsidRDefault="00A65E84" w:rsidP="00A65E84">
            <w:pPr>
              <w:jc w:val="left"/>
            </w:pPr>
            <w:r w:rsidRPr="0027088D">
              <w:t>Central</w:t>
            </w:r>
          </w:p>
        </w:tc>
      </w:tr>
      <w:tr w:rsidR="00A65E84" w:rsidRPr="0027088D" w:rsidTr="008E5A48">
        <w:tc>
          <w:tcPr>
            <w:tcW w:w="1345" w:type="dxa"/>
          </w:tcPr>
          <w:p w:rsidR="00A65E84" w:rsidRPr="0027088D" w:rsidRDefault="00807E56" w:rsidP="00A65E84">
            <w:pPr>
              <w:jc w:val="left"/>
            </w:pPr>
            <w:r>
              <w:t>SC</w:t>
            </w:r>
            <w:r w:rsidR="00A65E84" w:rsidRPr="0027088D">
              <w:t>8</w:t>
            </w:r>
          </w:p>
        </w:tc>
        <w:tc>
          <w:tcPr>
            <w:tcW w:w="1800" w:type="dxa"/>
          </w:tcPr>
          <w:p w:rsidR="00A65E84" w:rsidRPr="0027088D" w:rsidRDefault="00A65E84" w:rsidP="00A65E84">
            <w:pPr>
              <w:jc w:val="left"/>
            </w:pPr>
            <w:r w:rsidRPr="0027088D">
              <w:t>Low</w:t>
            </w:r>
          </w:p>
        </w:tc>
        <w:tc>
          <w:tcPr>
            <w:tcW w:w="1170" w:type="dxa"/>
          </w:tcPr>
          <w:p w:rsidR="00A65E84" w:rsidRPr="0027088D" w:rsidRDefault="00A65E84" w:rsidP="00A65E84">
            <w:pPr>
              <w:jc w:val="left"/>
            </w:pPr>
            <w:r w:rsidRPr="0027088D">
              <w:t>Central</w:t>
            </w:r>
          </w:p>
        </w:tc>
      </w:tr>
      <w:tr w:rsidR="00A65E84" w:rsidRPr="0027088D" w:rsidTr="008E5A48">
        <w:tc>
          <w:tcPr>
            <w:tcW w:w="1345" w:type="dxa"/>
          </w:tcPr>
          <w:p w:rsidR="00A65E84" w:rsidRPr="0027088D" w:rsidRDefault="00807E56" w:rsidP="00A65E84">
            <w:pPr>
              <w:jc w:val="left"/>
            </w:pPr>
            <w:r>
              <w:t>SC</w:t>
            </w:r>
            <w:r w:rsidR="00A65E84" w:rsidRPr="0027088D">
              <w:t>9</w:t>
            </w:r>
          </w:p>
        </w:tc>
        <w:tc>
          <w:tcPr>
            <w:tcW w:w="1800" w:type="dxa"/>
          </w:tcPr>
          <w:p w:rsidR="00A65E84" w:rsidRPr="0027088D" w:rsidRDefault="00A65E84" w:rsidP="00A65E84">
            <w:pPr>
              <w:jc w:val="left"/>
            </w:pPr>
            <w:r w:rsidRPr="0027088D">
              <w:t>Low</w:t>
            </w:r>
          </w:p>
        </w:tc>
        <w:tc>
          <w:tcPr>
            <w:tcW w:w="1170" w:type="dxa"/>
          </w:tcPr>
          <w:p w:rsidR="00A65E84" w:rsidRPr="0027088D" w:rsidRDefault="00A65E84" w:rsidP="00A65E84">
            <w:pPr>
              <w:jc w:val="left"/>
            </w:pPr>
            <w:r w:rsidRPr="0027088D">
              <w:t>Central</w:t>
            </w:r>
          </w:p>
        </w:tc>
      </w:tr>
      <w:tr w:rsidR="00A65E84" w:rsidRPr="0027088D" w:rsidTr="008E5A48">
        <w:tc>
          <w:tcPr>
            <w:tcW w:w="1345" w:type="dxa"/>
          </w:tcPr>
          <w:p w:rsidR="00A65E84" w:rsidRPr="0027088D" w:rsidRDefault="00807E56" w:rsidP="00A65E84">
            <w:pPr>
              <w:jc w:val="left"/>
            </w:pPr>
            <w:r>
              <w:t>SC</w:t>
            </w:r>
            <w:r w:rsidR="00A65E84" w:rsidRPr="0027088D">
              <w:t>10</w:t>
            </w:r>
          </w:p>
        </w:tc>
        <w:tc>
          <w:tcPr>
            <w:tcW w:w="1800" w:type="dxa"/>
          </w:tcPr>
          <w:p w:rsidR="00A65E84" w:rsidRPr="0027088D" w:rsidRDefault="00A65E84" w:rsidP="00A65E84">
            <w:pPr>
              <w:jc w:val="left"/>
            </w:pPr>
            <w:r w:rsidRPr="0027088D">
              <w:t>Low</w:t>
            </w:r>
          </w:p>
        </w:tc>
        <w:tc>
          <w:tcPr>
            <w:tcW w:w="1170" w:type="dxa"/>
          </w:tcPr>
          <w:p w:rsidR="00A65E84" w:rsidRPr="0027088D" w:rsidRDefault="00A65E84" w:rsidP="00A65E84">
            <w:pPr>
              <w:jc w:val="left"/>
            </w:pPr>
            <w:r w:rsidRPr="0027088D">
              <w:t>Ledge</w:t>
            </w:r>
          </w:p>
        </w:tc>
      </w:tr>
      <w:tr w:rsidR="00A65E84" w:rsidRPr="0027088D" w:rsidTr="008E5A48">
        <w:tc>
          <w:tcPr>
            <w:tcW w:w="1345" w:type="dxa"/>
          </w:tcPr>
          <w:p w:rsidR="00A65E84" w:rsidRPr="0027088D" w:rsidRDefault="00807E56" w:rsidP="00A65E84">
            <w:pPr>
              <w:jc w:val="left"/>
            </w:pPr>
            <w:r>
              <w:t>SC</w:t>
            </w:r>
            <w:r w:rsidR="00A65E84" w:rsidRPr="0027088D">
              <w:t>11</w:t>
            </w:r>
          </w:p>
        </w:tc>
        <w:tc>
          <w:tcPr>
            <w:tcW w:w="1800" w:type="dxa"/>
          </w:tcPr>
          <w:p w:rsidR="00A65E84" w:rsidRPr="0027088D" w:rsidRDefault="00A65E84" w:rsidP="00A65E84">
            <w:pPr>
              <w:jc w:val="left"/>
            </w:pPr>
            <w:r w:rsidRPr="0027088D">
              <w:t>Low</w:t>
            </w:r>
          </w:p>
        </w:tc>
        <w:tc>
          <w:tcPr>
            <w:tcW w:w="1170" w:type="dxa"/>
          </w:tcPr>
          <w:p w:rsidR="00A65E84" w:rsidRPr="0027088D" w:rsidRDefault="00A65E84" w:rsidP="00A65E84">
            <w:pPr>
              <w:jc w:val="left"/>
            </w:pPr>
            <w:r w:rsidRPr="0027088D">
              <w:t>Ledge</w:t>
            </w:r>
          </w:p>
        </w:tc>
      </w:tr>
      <w:tr w:rsidR="00A65E84" w:rsidRPr="0027088D" w:rsidTr="008E5A48">
        <w:tc>
          <w:tcPr>
            <w:tcW w:w="1345" w:type="dxa"/>
          </w:tcPr>
          <w:p w:rsidR="00A65E84" w:rsidRPr="0027088D" w:rsidRDefault="00807E56" w:rsidP="00A65E84">
            <w:pPr>
              <w:jc w:val="left"/>
            </w:pPr>
            <w:r>
              <w:t>SC</w:t>
            </w:r>
            <w:r w:rsidR="00A65E84" w:rsidRPr="0027088D">
              <w:t>12</w:t>
            </w:r>
          </w:p>
        </w:tc>
        <w:tc>
          <w:tcPr>
            <w:tcW w:w="1800" w:type="dxa"/>
          </w:tcPr>
          <w:p w:rsidR="00A65E84" w:rsidRPr="0027088D" w:rsidRDefault="00A65E84" w:rsidP="00A65E84">
            <w:pPr>
              <w:jc w:val="left"/>
            </w:pPr>
            <w:r w:rsidRPr="0027088D">
              <w:t>Low</w:t>
            </w:r>
          </w:p>
        </w:tc>
        <w:tc>
          <w:tcPr>
            <w:tcW w:w="1170" w:type="dxa"/>
          </w:tcPr>
          <w:p w:rsidR="00A65E84" w:rsidRPr="0027088D" w:rsidRDefault="00A65E84" w:rsidP="00A65E84">
            <w:pPr>
              <w:jc w:val="left"/>
            </w:pPr>
            <w:r w:rsidRPr="0027088D">
              <w:t>South</w:t>
            </w:r>
          </w:p>
        </w:tc>
      </w:tr>
      <w:tr w:rsidR="00A65E84" w:rsidRPr="0027088D" w:rsidTr="008E5A48">
        <w:tc>
          <w:tcPr>
            <w:tcW w:w="1345" w:type="dxa"/>
          </w:tcPr>
          <w:p w:rsidR="00A65E84" w:rsidRPr="0027088D" w:rsidRDefault="00807E56" w:rsidP="00A65E84">
            <w:pPr>
              <w:jc w:val="left"/>
            </w:pPr>
            <w:r>
              <w:t>SC</w:t>
            </w:r>
            <w:r w:rsidR="00A65E84" w:rsidRPr="0027088D">
              <w:t>13</w:t>
            </w:r>
          </w:p>
        </w:tc>
        <w:tc>
          <w:tcPr>
            <w:tcW w:w="1800" w:type="dxa"/>
          </w:tcPr>
          <w:p w:rsidR="00A65E84" w:rsidRPr="0027088D" w:rsidRDefault="00A65E84" w:rsidP="00A65E84">
            <w:pPr>
              <w:jc w:val="left"/>
            </w:pPr>
            <w:r w:rsidRPr="0027088D">
              <w:t>Low</w:t>
            </w:r>
          </w:p>
        </w:tc>
        <w:tc>
          <w:tcPr>
            <w:tcW w:w="1170" w:type="dxa"/>
          </w:tcPr>
          <w:p w:rsidR="00A65E84" w:rsidRPr="0027088D" w:rsidRDefault="00A65E84" w:rsidP="00A65E84">
            <w:pPr>
              <w:jc w:val="left"/>
            </w:pPr>
            <w:r w:rsidRPr="0027088D">
              <w:t>South</w:t>
            </w:r>
          </w:p>
        </w:tc>
      </w:tr>
      <w:tr w:rsidR="00A65E84" w:rsidRPr="0027088D" w:rsidTr="008E5A48">
        <w:tc>
          <w:tcPr>
            <w:tcW w:w="1345" w:type="dxa"/>
          </w:tcPr>
          <w:p w:rsidR="00A65E84" w:rsidRPr="0027088D" w:rsidRDefault="00807E56" w:rsidP="00A65E84">
            <w:pPr>
              <w:jc w:val="left"/>
            </w:pPr>
            <w:r>
              <w:t>SC</w:t>
            </w:r>
            <w:r w:rsidR="00A65E84" w:rsidRPr="0027088D">
              <w:t>14</w:t>
            </w:r>
          </w:p>
        </w:tc>
        <w:tc>
          <w:tcPr>
            <w:tcW w:w="1800" w:type="dxa"/>
          </w:tcPr>
          <w:p w:rsidR="00A65E84" w:rsidRPr="0027088D" w:rsidRDefault="00A65E84" w:rsidP="00A65E84">
            <w:pPr>
              <w:jc w:val="left"/>
            </w:pPr>
            <w:r w:rsidRPr="0027088D">
              <w:t>High</w:t>
            </w:r>
          </w:p>
        </w:tc>
        <w:tc>
          <w:tcPr>
            <w:tcW w:w="1170" w:type="dxa"/>
          </w:tcPr>
          <w:p w:rsidR="00A65E84" w:rsidRPr="0027088D" w:rsidRDefault="00A65E84" w:rsidP="00A65E84">
            <w:pPr>
              <w:jc w:val="left"/>
            </w:pPr>
            <w:r w:rsidRPr="0027088D">
              <w:t>Central</w:t>
            </w:r>
          </w:p>
        </w:tc>
      </w:tr>
      <w:tr w:rsidR="00A65E84" w:rsidRPr="0027088D" w:rsidTr="008E5A48">
        <w:tc>
          <w:tcPr>
            <w:tcW w:w="1345" w:type="dxa"/>
          </w:tcPr>
          <w:p w:rsidR="00A65E84" w:rsidRPr="0027088D" w:rsidRDefault="00807E56" w:rsidP="00A65E84">
            <w:pPr>
              <w:jc w:val="left"/>
            </w:pPr>
            <w:r>
              <w:t>SC</w:t>
            </w:r>
            <w:r w:rsidR="00A65E84" w:rsidRPr="0027088D">
              <w:t>15</w:t>
            </w:r>
          </w:p>
        </w:tc>
        <w:tc>
          <w:tcPr>
            <w:tcW w:w="1800" w:type="dxa"/>
          </w:tcPr>
          <w:p w:rsidR="00A65E84" w:rsidRPr="0027088D" w:rsidRDefault="00A65E84" w:rsidP="00A65E84">
            <w:pPr>
              <w:jc w:val="left"/>
            </w:pPr>
            <w:r w:rsidRPr="0027088D">
              <w:t>High</w:t>
            </w:r>
          </w:p>
        </w:tc>
        <w:tc>
          <w:tcPr>
            <w:tcW w:w="1170" w:type="dxa"/>
          </w:tcPr>
          <w:p w:rsidR="00A65E84" w:rsidRPr="0027088D" w:rsidRDefault="00A65E84" w:rsidP="00A65E84">
            <w:pPr>
              <w:jc w:val="left"/>
            </w:pPr>
            <w:r w:rsidRPr="0027088D">
              <w:t>Ledge</w:t>
            </w:r>
          </w:p>
        </w:tc>
      </w:tr>
      <w:tr w:rsidR="00807E56" w:rsidRPr="0027088D" w:rsidTr="008E5A48">
        <w:tc>
          <w:tcPr>
            <w:tcW w:w="1345" w:type="dxa"/>
          </w:tcPr>
          <w:p w:rsidR="00807E56" w:rsidRPr="0027088D" w:rsidRDefault="00807E56" w:rsidP="00A65E84">
            <w:pPr>
              <w:jc w:val="left"/>
            </w:pPr>
            <w:r>
              <w:t>SC16</w:t>
            </w:r>
          </w:p>
        </w:tc>
        <w:tc>
          <w:tcPr>
            <w:tcW w:w="1800" w:type="dxa"/>
          </w:tcPr>
          <w:p w:rsidR="00807E56" w:rsidRPr="0027088D" w:rsidRDefault="00807E56" w:rsidP="00A65E84">
            <w:pPr>
              <w:jc w:val="left"/>
            </w:pPr>
            <w:r>
              <w:t>High</w:t>
            </w:r>
          </w:p>
        </w:tc>
        <w:tc>
          <w:tcPr>
            <w:tcW w:w="1170" w:type="dxa"/>
          </w:tcPr>
          <w:p w:rsidR="00807E56" w:rsidRPr="0027088D" w:rsidRDefault="00807E56" w:rsidP="00A65E84">
            <w:pPr>
              <w:jc w:val="left"/>
            </w:pPr>
            <w:r>
              <w:t>Ledge</w:t>
            </w:r>
          </w:p>
        </w:tc>
      </w:tr>
      <w:tr w:rsidR="00A65E84" w:rsidRPr="0027088D" w:rsidTr="008E5A48">
        <w:tc>
          <w:tcPr>
            <w:tcW w:w="1345" w:type="dxa"/>
          </w:tcPr>
          <w:p w:rsidR="00A65E84" w:rsidRPr="0027088D" w:rsidRDefault="00807E56" w:rsidP="00A65E84">
            <w:pPr>
              <w:jc w:val="left"/>
            </w:pPr>
            <w:r>
              <w:t>SC</w:t>
            </w:r>
            <w:r w:rsidR="00A65E84" w:rsidRPr="0027088D">
              <w:t>17</w:t>
            </w:r>
          </w:p>
        </w:tc>
        <w:tc>
          <w:tcPr>
            <w:tcW w:w="1800" w:type="dxa"/>
          </w:tcPr>
          <w:p w:rsidR="00A65E84" w:rsidRPr="0027088D" w:rsidRDefault="00A65E84" w:rsidP="00A65E84">
            <w:pPr>
              <w:jc w:val="left"/>
            </w:pPr>
            <w:r w:rsidRPr="0027088D">
              <w:t>High</w:t>
            </w:r>
          </w:p>
        </w:tc>
        <w:tc>
          <w:tcPr>
            <w:tcW w:w="1170" w:type="dxa"/>
          </w:tcPr>
          <w:p w:rsidR="00A65E84" w:rsidRPr="0027088D" w:rsidRDefault="00A65E84" w:rsidP="00A65E84">
            <w:pPr>
              <w:jc w:val="left"/>
            </w:pPr>
            <w:r w:rsidRPr="0027088D">
              <w:t>Ledge</w:t>
            </w:r>
          </w:p>
        </w:tc>
      </w:tr>
      <w:tr w:rsidR="00A65E84" w:rsidRPr="0027088D" w:rsidTr="008E5A48">
        <w:tc>
          <w:tcPr>
            <w:tcW w:w="1345" w:type="dxa"/>
          </w:tcPr>
          <w:p w:rsidR="00A65E84" w:rsidRPr="0027088D" w:rsidRDefault="00807E56" w:rsidP="00A65E84">
            <w:pPr>
              <w:jc w:val="left"/>
            </w:pPr>
            <w:r>
              <w:t>SC</w:t>
            </w:r>
            <w:r w:rsidR="00A65E84" w:rsidRPr="0027088D">
              <w:t>18</w:t>
            </w:r>
          </w:p>
        </w:tc>
        <w:tc>
          <w:tcPr>
            <w:tcW w:w="1800" w:type="dxa"/>
          </w:tcPr>
          <w:p w:rsidR="00A65E84" w:rsidRPr="0027088D" w:rsidRDefault="00A65E84" w:rsidP="00A65E84">
            <w:pPr>
              <w:jc w:val="left"/>
            </w:pPr>
            <w:r w:rsidRPr="0027088D">
              <w:t>High</w:t>
            </w:r>
          </w:p>
        </w:tc>
        <w:tc>
          <w:tcPr>
            <w:tcW w:w="1170" w:type="dxa"/>
          </w:tcPr>
          <w:p w:rsidR="00A65E84" w:rsidRPr="0027088D" w:rsidRDefault="00A65E84" w:rsidP="00A65E84">
            <w:pPr>
              <w:jc w:val="left"/>
            </w:pPr>
            <w:r w:rsidRPr="0027088D">
              <w:t>Ledge</w:t>
            </w:r>
          </w:p>
        </w:tc>
      </w:tr>
      <w:tr w:rsidR="00A65E84" w:rsidRPr="0027088D" w:rsidTr="008E5A48">
        <w:tc>
          <w:tcPr>
            <w:tcW w:w="1345" w:type="dxa"/>
          </w:tcPr>
          <w:p w:rsidR="00A65E84" w:rsidRPr="0027088D" w:rsidRDefault="00807E56" w:rsidP="00A65E84">
            <w:pPr>
              <w:jc w:val="left"/>
            </w:pPr>
            <w:r>
              <w:t>SC</w:t>
            </w:r>
            <w:r w:rsidR="00A65E84" w:rsidRPr="0027088D">
              <w:t>19</w:t>
            </w:r>
          </w:p>
        </w:tc>
        <w:tc>
          <w:tcPr>
            <w:tcW w:w="1800" w:type="dxa"/>
          </w:tcPr>
          <w:p w:rsidR="00A65E84" w:rsidRPr="0027088D" w:rsidRDefault="00A65E84" w:rsidP="00A65E84">
            <w:pPr>
              <w:jc w:val="left"/>
            </w:pPr>
            <w:r w:rsidRPr="0027088D">
              <w:t>High</w:t>
            </w:r>
          </w:p>
        </w:tc>
        <w:tc>
          <w:tcPr>
            <w:tcW w:w="1170" w:type="dxa"/>
          </w:tcPr>
          <w:p w:rsidR="00A65E84" w:rsidRPr="0027088D" w:rsidRDefault="00A65E84" w:rsidP="00A65E84">
            <w:pPr>
              <w:jc w:val="left"/>
            </w:pPr>
            <w:r w:rsidRPr="0027088D">
              <w:t>Ledge</w:t>
            </w:r>
          </w:p>
        </w:tc>
      </w:tr>
      <w:tr w:rsidR="00A65E84" w:rsidRPr="0027088D" w:rsidTr="008E5A48">
        <w:tc>
          <w:tcPr>
            <w:tcW w:w="1345" w:type="dxa"/>
          </w:tcPr>
          <w:p w:rsidR="00A65E84" w:rsidRPr="0027088D" w:rsidRDefault="00807E56" w:rsidP="00A65E84">
            <w:pPr>
              <w:jc w:val="left"/>
            </w:pPr>
            <w:r>
              <w:t>SC</w:t>
            </w:r>
            <w:r w:rsidR="00A65E84" w:rsidRPr="0027088D">
              <w:t>20</w:t>
            </w:r>
          </w:p>
        </w:tc>
        <w:tc>
          <w:tcPr>
            <w:tcW w:w="1800" w:type="dxa"/>
          </w:tcPr>
          <w:p w:rsidR="00A65E84" w:rsidRPr="0027088D" w:rsidRDefault="00A65E84" w:rsidP="00A65E84">
            <w:pPr>
              <w:jc w:val="left"/>
            </w:pPr>
            <w:r w:rsidRPr="0027088D">
              <w:t>High</w:t>
            </w:r>
          </w:p>
        </w:tc>
        <w:tc>
          <w:tcPr>
            <w:tcW w:w="1170" w:type="dxa"/>
          </w:tcPr>
          <w:p w:rsidR="00A65E84" w:rsidRPr="0027088D" w:rsidRDefault="00A65E84" w:rsidP="00A65E84">
            <w:pPr>
              <w:jc w:val="left"/>
            </w:pPr>
            <w:r w:rsidRPr="0027088D">
              <w:t>Ledge</w:t>
            </w:r>
          </w:p>
        </w:tc>
      </w:tr>
      <w:tr w:rsidR="00A65E84" w:rsidRPr="0027088D" w:rsidTr="008E5A48">
        <w:tc>
          <w:tcPr>
            <w:tcW w:w="1345" w:type="dxa"/>
          </w:tcPr>
          <w:p w:rsidR="00A65E84" w:rsidRPr="0027088D" w:rsidRDefault="00807E56" w:rsidP="00A65E84">
            <w:pPr>
              <w:jc w:val="left"/>
            </w:pPr>
            <w:r>
              <w:t>SC</w:t>
            </w:r>
            <w:r w:rsidR="00A65E84" w:rsidRPr="0027088D">
              <w:t>21</w:t>
            </w:r>
          </w:p>
        </w:tc>
        <w:tc>
          <w:tcPr>
            <w:tcW w:w="1800" w:type="dxa"/>
          </w:tcPr>
          <w:p w:rsidR="00A65E84" w:rsidRPr="0027088D" w:rsidRDefault="00A65E84" w:rsidP="00A65E84">
            <w:pPr>
              <w:jc w:val="left"/>
            </w:pPr>
            <w:r w:rsidRPr="0027088D">
              <w:t>High</w:t>
            </w:r>
          </w:p>
        </w:tc>
        <w:tc>
          <w:tcPr>
            <w:tcW w:w="1170" w:type="dxa"/>
          </w:tcPr>
          <w:p w:rsidR="00A65E84" w:rsidRPr="0027088D" w:rsidRDefault="00A65E84" w:rsidP="00A65E84">
            <w:pPr>
              <w:jc w:val="left"/>
            </w:pPr>
            <w:r w:rsidRPr="0027088D">
              <w:t>Central</w:t>
            </w:r>
          </w:p>
        </w:tc>
      </w:tr>
      <w:tr w:rsidR="00A65E84" w:rsidRPr="0027088D" w:rsidTr="008E5A48">
        <w:tc>
          <w:tcPr>
            <w:tcW w:w="1345" w:type="dxa"/>
          </w:tcPr>
          <w:p w:rsidR="00A65E84" w:rsidRPr="0027088D" w:rsidRDefault="00807E56" w:rsidP="00A65E84">
            <w:pPr>
              <w:jc w:val="left"/>
            </w:pPr>
            <w:r>
              <w:t>SC</w:t>
            </w:r>
            <w:r w:rsidR="00A65E84" w:rsidRPr="0027088D">
              <w:t>22</w:t>
            </w:r>
          </w:p>
        </w:tc>
        <w:tc>
          <w:tcPr>
            <w:tcW w:w="1800" w:type="dxa"/>
          </w:tcPr>
          <w:p w:rsidR="00A65E84" w:rsidRPr="0027088D" w:rsidRDefault="00A65E84" w:rsidP="00A65E84">
            <w:pPr>
              <w:jc w:val="left"/>
            </w:pPr>
            <w:r w:rsidRPr="0027088D">
              <w:t>High</w:t>
            </w:r>
          </w:p>
        </w:tc>
        <w:tc>
          <w:tcPr>
            <w:tcW w:w="1170" w:type="dxa"/>
          </w:tcPr>
          <w:p w:rsidR="00A65E84" w:rsidRPr="0027088D" w:rsidRDefault="00A65E84" w:rsidP="00A65E84">
            <w:pPr>
              <w:jc w:val="left"/>
            </w:pPr>
            <w:r w:rsidRPr="0027088D">
              <w:t>Central</w:t>
            </w:r>
          </w:p>
        </w:tc>
      </w:tr>
      <w:tr w:rsidR="00A65E84" w:rsidRPr="0027088D" w:rsidTr="008E5A48">
        <w:tc>
          <w:tcPr>
            <w:tcW w:w="1345" w:type="dxa"/>
          </w:tcPr>
          <w:p w:rsidR="00A65E84" w:rsidRPr="0027088D" w:rsidRDefault="00807E56" w:rsidP="00A65E84">
            <w:pPr>
              <w:jc w:val="left"/>
            </w:pPr>
            <w:r>
              <w:t>SC</w:t>
            </w:r>
            <w:r w:rsidR="00A65E84" w:rsidRPr="0027088D">
              <w:t>23</w:t>
            </w:r>
          </w:p>
        </w:tc>
        <w:tc>
          <w:tcPr>
            <w:tcW w:w="1800" w:type="dxa"/>
          </w:tcPr>
          <w:p w:rsidR="00A65E84" w:rsidRPr="0027088D" w:rsidRDefault="00A65E84" w:rsidP="00A65E84">
            <w:pPr>
              <w:jc w:val="left"/>
            </w:pPr>
            <w:r w:rsidRPr="0027088D">
              <w:t>High</w:t>
            </w:r>
          </w:p>
        </w:tc>
        <w:tc>
          <w:tcPr>
            <w:tcW w:w="1170" w:type="dxa"/>
          </w:tcPr>
          <w:p w:rsidR="00A65E84" w:rsidRPr="0027088D" w:rsidRDefault="00A65E84" w:rsidP="00A65E84">
            <w:pPr>
              <w:jc w:val="left"/>
            </w:pPr>
            <w:r w:rsidRPr="0027088D">
              <w:t>South</w:t>
            </w:r>
          </w:p>
        </w:tc>
      </w:tr>
      <w:tr w:rsidR="00A65E84" w:rsidRPr="0027088D" w:rsidTr="008E5A48">
        <w:tc>
          <w:tcPr>
            <w:tcW w:w="1345" w:type="dxa"/>
          </w:tcPr>
          <w:p w:rsidR="00A65E84" w:rsidRPr="0027088D" w:rsidRDefault="00807E56" w:rsidP="00A65E84">
            <w:pPr>
              <w:jc w:val="left"/>
            </w:pPr>
            <w:r>
              <w:t>SC</w:t>
            </w:r>
            <w:r w:rsidR="00A65E84" w:rsidRPr="0027088D">
              <w:t>24</w:t>
            </w:r>
          </w:p>
        </w:tc>
        <w:tc>
          <w:tcPr>
            <w:tcW w:w="1800" w:type="dxa"/>
          </w:tcPr>
          <w:p w:rsidR="00A65E84" w:rsidRPr="0027088D" w:rsidRDefault="00A65E84" w:rsidP="00A65E84">
            <w:pPr>
              <w:jc w:val="left"/>
            </w:pPr>
            <w:r w:rsidRPr="0027088D">
              <w:t>High</w:t>
            </w:r>
          </w:p>
        </w:tc>
        <w:tc>
          <w:tcPr>
            <w:tcW w:w="1170" w:type="dxa"/>
          </w:tcPr>
          <w:p w:rsidR="00A65E84" w:rsidRPr="0027088D" w:rsidRDefault="00A65E84" w:rsidP="00A65E84">
            <w:pPr>
              <w:jc w:val="left"/>
            </w:pPr>
            <w:r w:rsidRPr="0027088D">
              <w:t>South</w:t>
            </w:r>
          </w:p>
        </w:tc>
      </w:tr>
      <w:tr w:rsidR="00A65E84" w:rsidRPr="0027088D" w:rsidTr="008E5A48">
        <w:tc>
          <w:tcPr>
            <w:tcW w:w="1345" w:type="dxa"/>
          </w:tcPr>
          <w:p w:rsidR="00A65E84" w:rsidRPr="0027088D" w:rsidRDefault="00807E56" w:rsidP="00A65E84">
            <w:pPr>
              <w:jc w:val="left"/>
            </w:pPr>
            <w:r>
              <w:t>SC</w:t>
            </w:r>
            <w:r w:rsidR="00A65E84" w:rsidRPr="0027088D">
              <w:t>25</w:t>
            </w:r>
          </w:p>
        </w:tc>
        <w:tc>
          <w:tcPr>
            <w:tcW w:w="1800" w:type="dxa"/>
          </w:tcPr>
          <w:p w:rsidR="00A65E84" w:rsidRPr="0027088D" w:rsidRDefault="00A65E84" w:rsidP="00A65E84">
            <w:pPr>
              <w:jc w:val="left"/>
            </w:pPr>
            <w:r w:rsidRPr="0027088D">
              <w:t>High</w:t>
            </w:r>
          </w:p>
        </w:tc>
        <w:tc>
          <w:tcPr>
            <w:tcW w:w="1170" w:type="dxa"/>
          </w:tcPr>
          <w:p w:rsidR="00A65E84" w:rsidRPr="0027088D" w:rsidRDefault="00A65E84" w:rsidP="00A65E84">
            <w:pPr>
              <w:jc w:val="left"/>
            </w:pPr>
            <w:r w:rsidRPr="0027088D">
              <w:t>South</w:t>
            </w:r>
          </w:p>
        </w:tc>
      </w:tr>
      <w:tr w:rsidR="00A65E84" w:rsidRPr="0027088D" w:rsidTr="008E5A48">
        <w:tc>
          <w:tcPr>
            <w:tcW w:w="1345" w:type="dxa"/>
          </w:tcPr>
          <w:p w:rsidR="00A65E84" w:rsidRPr="0027088D" w:rsidRDefault="00807E56" w:rsidP="00A65E84">
            <w:pPr>
              <w:jc w:val="left"/>
            </w:pPr>
            <w:r>
              <w:t>SC</w:t>
            </w:r>
            <w:r w:rsidR="00A65E84" w:rsidRPr="0027088D">
              <w:t>26</w:t>
            </w:r>
          </w:p>
        </w:tc>
        <w:tc>
          <w:tcPr>
            <w:tcW w:w="1800" w:type="dxa"/>
          </w:tcPr>
          <w:p w:rsidR="00A65E84" w:rsidRPr="0027088D" w:rsidRDefault="00A65E84" w:rsidP="00A65E84">
            <w:pPr>
              <w:jc w:val="left"/>
            </w:pPr>
            <w:r w:rsidRPr="0027088D">
              <w:t>High</w:t>
            </w:r>
          </w:p>
        </w:tc>
        <w:tc>
          <w:tcPr>
            <w:tcW w:w="1170" w:type="dxa"/>
          </w:tcPr>
          <w:p w:rsidR="00A65E84" w:rsidRPr="0027088D" w:rsidRDefault="00A65E84" w:rsidP="00A65E84">
            <w:pPr>
              <w:jc w:val="left"/>
            </w:pPr>
            <w:r w:rsidRPr="0027088D">
              <w:t>South</w:t>
            </w:r>
          </w:p>
        </w:tc>
      </w:tr>
    </w:tbl>
    <w:p w:rsidR="009D4697" w:rsidRPr="0027088D" w:rsidRDefault="00A65E84" w:rsidP="00963E02">
      <w:pPr>
        <w:jc w:val="left"/>
      </w:pPr>
      <w:r w:rsidRPr="0027088D">
        <w:t>S</w:t>
      </w:r>
      <w:r w:rsidR="00807E56">
        <w:t>C = surface community</w:t>
      </w:r>
    </w:p>
    <w:p w:rsidR="00B51D7F" w:rsidRPr="0027088D" w:rsidRDefault="00B51D7F" w:rsidP="00963E02">
      <w:pPr>
        <w:jc w:val="left"/>
      </w:pPr>
    </w:p>
    <w:p w:rsidR="006B0366" w:rsidRPr="0027088D" w:rsidRDefault="006B0366" w:rsidP="00963E02">
      <w:pPr>
        <w:jc w:val="left"/>
      </w:pPr>
      <w:r w:rsidRPr="0027088D">
        <w:rPr>
          <w:b/>
        </w:rPr>
        <w:t>Bacterial DNA extraction from mucus.</w:t>
      </w:r>
      <w:r w:rsidRPr="0027088D">
        <w:t xml:space="preserve"> DNA was extracted from the </w:t>
      </w:r>
      <w:r w:rsidRPr="0027088D">
        <w:rPr>
          <w:i/>
        </w:rPr>
        <w:t>M. cavernosa</w:t>
      </w:r>
      <w:r w:rsidRPr="0027088D">
        <w:t xml:space="preserve"> mucus samples using the MoBio Biofilm Extraction Kit, MO BIO Laboratories, Inc., Carlsbad, CA, with slight modifications. </w:t>
      </w:r>
      <w:r w:rsidR="00B51D7F" w:rsidRPr="0027088D">
        <w:t xml:space="preserve">These modifications included pelleting the mucus prior the first step. </w:t>
      </w:r>
      <w:r w:rsidRPr="0027088D">
        <w:t>Concentrations of DNA were measured using the Nanodrop2000 and subsequently diluted with molecular grade water to a standard 10ng/uL. The DNA was then stored at -20°C until further use.</w:t>
      </w:r>
    </w:p>
    <w:p w:rsidR="00041731" w:rsidRDefault="00041731" w:rsidP="00963E02">
      <w:pPr>
        <w:jc w:val="left"/>
        <w:rPr>
          <w:b/>
          <w:bCs/>
        </w:rPr>
      </w:pPr>
    </w:p>
    <w:p w:rsidR="008F10B5" w:rsidRPr="0027088D" w:rsidRDefault="00286629" w:rsidP="00963E02">
      <w:pPr>
        <w:jc w:val="left"/>
        <w:rPr>
          <w:bCs/>
        </w:rPr>
      </w:pPr>
      <w:r w:rsidRPr="0027088D">
        <w:rPr>
          <w:b/>
          <w:bCs/>
        </w:rPr>
        <w:t>16S rRNA regions amplification</w:t>
      </w:r>
      <w:r w:rsidR="006B0366" w:rsidRPr="0027088D">
        <w:rPr>
          <w:b/>
          <w:bCs/>
        </w:rPr>
        <w:t xml:space="preserve">. </w:t>
      </w:r>
      <w:r w:rsidR="006B0366" w:rsidRPr="0027088D">
        <w:rPr>
          <w:bCs/>
        </w:rPr>
        <w:t>16S rRNA genes at the hypervariable regions V1 plus V2</w:t>
      </w:r>
      <w:r w:rsidR="00D91D83" w:rsidRPr="0027088D">
        <w:rPr>
          <w:bCs/>
        </w:rPr>
        <w:t xml:space="preserve"> in the genome of each colony’s mucus</w:t>
      </w:r>
      <w:r w:rsidR="006B0366" w:rsidRPr="0027088D">
        <w:rPr>
          <w:bCs/>
        </w:rPr>
        <w:t xml:space="preserve"> were amplified for LH-PCR using the fluorescently labeled primer 27F (5′-[6FAM] AGAGTTTGATCCTGGCTCA G-3′) and unlabeled reverse primer 355R′ (5′-GCTGCCTCCCGTAGGAGT-3′). Each reaction contained 7.8µL DEPC water, 2µL 10X Reaction Buffer, 2µL of 25mM MgCl2 Buffer, 2µL of </w:t>
      </w:r>
      <w:r w:rsidR="006B0366" w:rsidRPr="0027088D">
        <w:rPr>
          <w:bCs/>
        </w:rPr>
        <w:lastRenderedPageBreak/>
        <w:t xml:space="preserve">deoxynucleoside triphosphate containing 0.25mM of each, 0.5µL of each primer, 0.2µL of Amphigold Taq Polymerase, 2µL of bovine serum albumin, and 10 ng of DNA, for a total volume of 20µL. </w:t>
      </w:r>
      <w:r w:rsidR="008F10B5" w:rsidRPr="0027088D">
        <w:rPr>
          <w:bCs/>
        </w:rPr>
        <w:t xml:space="preserve">The </w:t>
      </w:r>
      <w:r w:rsidR="009C66D4">
        <w:rPr>
          <w:bCs/>
        </w:rPr>
        <w:t xml:space="preserve">reactions were run using an Eppendorf Thermocycler. The </w:t>
      </w:r>
      <w:r w:rsidR="008F10B5" w:rsidRPr="0027088D">
        <w:rPr>
          <w:bCs/>
        </w:rPr>
        <w:t>program for the reactions began with a denaturing period of 11 minutes at 94°C. Next, 30 cycles proceeded with a denaturing step of one minute at 94°C, annealing step of one minute at 55°C, and extending step of one minute at 72°C. A final extension step then held the cycler at 72°C for 10 minutes. The PCR products were subsequently stored at 4°C until further use.</w:t>
      </w:r>
    </w:p>
    <w:p w:rsidR="00286629" w:rsidRPr="0027088D" w:rsidRDefault="006B0366" w:rsidP="00744C81">
      <w:pPr>
        <w:ind w:firstLine="720"/>
        <w:jc w:val="left"/>
        <w:rPr>
          <w:bCs/>
        </w:rPr>
      </w:pPr>
      <w:r w:rsidRPr="0027088D">
        <w:rPr>
          <w:bCs/>
        </w:rPr>
        <w:t>PCR products were run on a 1%</w:t>
      </w:r>
      <w:r w:rsidR="00C6011D">
        <w:rPr>
          <w:bCs/>
        </w:rPr>
        <w:t xml:space="preserve"> TBE</w:t>
      </w:r>
      <w:r w:rsidRPr="0027088D">
        <w:rPr>
          <w:bCs/>
        </w:rPr>
        <w:t xml:space="preserve"> agarose gel</w:t>
      </w:r>
      <w:r w:rsidR="00A5260C" w:rsidRPr="0027088D">
        <w:rPr>
          <w:bCs/>
        </w:rPr>
        <w:t xml:space="preserve"> with a </w:t>
      </w:r>
      <w:r w:rsidR="003612CD">
        <w:rPr>
          <w:bCs/>
        </w:rPr>
        <w:t xml:space="preserve">6X </w:t>
      </w:r>
      <w:r w:rsidR="00A5260C" w:rsidRPr="0027088D">
        <w:rPr>
          <w:bCs/>
        </w:rPr>
        <w:t>TriT</w:t>
      </w:r>
      <w:r w:rsidR="005D434C">
        <w:rPr>
          <w:bCs/>
        </w:rPr>
        <w:t>r</w:t>
      </w:r>
      <w:r w:rsidR="00A5260C" w:rsidRPr="0027088D">
        <w:rPr>
          <w:bCs/>
        </w:rPr>
        <w:t>ack DNA ladder</w:t>
      </w:r>
      <w:r w:rsidR="003612CD">
        <w:rPr>
          <w:bCs/>
        </w:rPr>
        <w:t xml:space="preserve"> (Thermo Scientific</w:t>
      </w:r>
      <w:r w:rsidR="008176E0">
        <w:rPr>
          <w:bCs/>
        </w:rPr>
        <w:t>, Waltham, MA</w:t>
      </w:r>
      <w:r w:rsidR="003612CD">
        <w:rPr>
          <w:bCs/>
        </w:rPr>
        <w:t>)</w:t>
      </w:r>
      <w:r w:rsidRPr="0027088D">
        <w:rPr>
          <w:bCs/>
        </w:rPr>
        <w:t xml:space="preserve"> to ensure the targeted sequences were amplified adequately.</w:t>
      </w:r>
      <w:r w:rsidR="00A5260C" w:rsidRPr="0027088D">
        <w:rPr>
          <w:bCs/>
        </w:rPr>
        <w:t xml:space="preserve"> The PCR products were delivered to the Forensic DNA Profiling Facility at Florida International Un</w:t>
      </w:r>
      <w:r w:rsidR="00C6011D">
        <w:rPr>
          <w:bCs/>
        </w:rPr>
        <w:t xml:space="preserve">iversity, Miami, FL for analysis. A capillary electrophoresis was run to separate the amplicons by base pair length. </w:t>
      </w:r>
      <w:r w:rsidR="00D70DCA">
        <w:rPr>
          <w:bCs/>
        </w:rPr>
        <w:t>The master mix for each sample in the</w:t>
      </w:r>
      <w:r w:rsidR="00C6011D">
        <w:rPr>
          <w:bCs/>
        </w:rPr>
        <w:t xml:space="preserve"> electrophoresis contained </w:t>
      </w:r>
      <w:r w:rsidR="00C6011D" w:rsidRPr="00C6011D">
        <w:rPr>
          <w:bCs/>
        </w:rPr>
        <w:t>11.5ul HiDi Formamide + 0.65ul Genescan 600 LIZ dye size standard</w:t>
      </w:r>
      <w:r w:rsidR="00D70DCA">
        <w:rPr>
          <w:bCs/>
        </w:rPr>
        <w:t>. 1 ul of PCR product was added to 12ul of master mix. With an injection voltage and time of 1.2kV and 23 seconds, t</w:t>
      </w:r>
      <w:r w:rsidR="00D70DCA" w:rsidRPr="00D70DCA">
        <w:rPr>
          <w:bCs/>
        </w:rPr>
        <w:t xml:space="preserve">he </w:t>
      </w:r>
      <w:r w:rsidR="00D70DCA">
        <w:rPr>
          <w:bCs/>
        </w:rPr>
        <w:t>capillary electrophoresis was run on</w:t>
      </w:r>
      <w:r w:rsidR="00D70DCA" w:rsidRPr="00D70DCA">
        <w:rPr>
          <w:bCs/>
        </w:rPr>
        <w:t xml:space="preserve"> the 3130xl Genetic Analyzer using POP-7, Module DS 33, filter G5 and GeneScan LIZ 600 internal size standard (Life Technologies)</w:t>
      </w:r>
      <w:r w:rsidR="00D70DCA">
        <w:rPr>
          <w:bCs/>
        </w:rPr>
        <w:t xml:space="preserve"> with a voltage of 15kV at 60 deg C. The </w:t>
      </w:r>
      <w:r w:rsidR="007D383C" w:rsidRPr="0027088D">
        <w:rPr>
          <w:bCs/>
        </w:rPr>
        <w:t>electropherograms were processed through GeneMapper, with an amplicon analysis range of 300-380bp in length</w:t>
      </w:r>
      <w:r w:rsidR="00D70DCA">
        <w:rPr>
          <w:bCs/>
        </w:rPr>
        <w:t>,</w:t>
      </w:r>
      <w:r w:rsidR="007D383C" w:rsidRPr="0027088D">
        <w:rPr>
          <w:bCs/>
        </w:rPr>
        <w:t xml:space="preserve"> a bin w</w:t>
      </w:r>
      <w:r w:rsidR="00D70DCA">
        <w:rPr>
          <w:bCs/>
        </w:rPr>
        <w:t>idth of 1bp, and</w:t>
      </w:r>
      <w:r w:rsidR="00323D14" w:rsidRPr="0027088D">
        <w:rPr>
          <w:bCs/>
        </w:rPr>
        <w:t xml:space="preserve"> a</w:t>
      </w:r>
      <w:r w:rsidR="007D383C" w:rsidRPr="0027088D">
        <w:rPr>
          <w:bCs/>
        </w:rPr>
        <w:t xml:space="preserve"> minimum intensity threshold</w:t>
      </w:r>
      <w:r w:rsidR="00323D14" w:rsidRPr="0027088D">
        <w:rPr>
          <w:bCs/>
        </w:rPr>
        <w:t xml:space="preserve"> set at a</w:t>
      </w:r>
      <w:r w:rsidR="007D383C" w:rsidRPr="0027088D">
        <w:rPr>
          <w:bCs/>
        </w:rPr>
        <w:t xml:space="preserve"> peak height</w:t>
      </w:r>
      <w:r w:rsidR="00323D14" w:rsidRPr="0027088D">
        <w:rPr>
          <w:bCs/>
        </w:rPr>
        <w:t xml:space="preserve"> of 50.</w:t>
      </w:r>
      <w:r w:rsidR="00744C81">
        <w:rPr>
          <w:bCs/>
        </w:rPr>
        <w:t xml:space="preserve"> </w:t>
      </w:r>
    </w:p>
    <w:p w:rsidR="00041731" w:rsidRDefault="00041731" w:rsidP="00963E02">
      <w:pPr>
        <w:jc w:val="left"/>
        <w:rPr>
          <w:b/>
          <w:bCs/>
        </w:rPr>
      </w:pPr>
    </w:p>
    <w:p w:rsidR="002A1E84" w:rsidRPr="0027088D" w:rsidRDefault="00041731" w:rsidP="00963E02">
      <w:pPr>
        <w:jc w:val="left"/>
        <w:rPr>
          <w:bCs/>
        </w:rPr>
      </w:pPr>
      <w:r>
        <w:rPr>
          <w:b/>
          <w:bCs/>
        </w:rPr>
        <w:t>Data processing</w:t>
      </w:r>
      <w:r w:rsidR="00286629" w:rsidRPr="0027088D">
        <w:rPr>
          <w:b/>
          <w:bCs/>
        </w:rPr>
        <w:t>.</w:t>
      </w:r>
      <w:r w:rsidR="00286629" w:rsidRPr="0027088D">
        <w:rPr>
          <w:bCs/>
        </w:rPr>
        <w:t xml:space="preserve"> </w:t>
      </w:r>
      <w:r w:rsidR="00A5260C" w:rsidRPr="0027088D">
        <w:rPr>
          <w:bCs/>
        </w:rPr>
        <w:t>The data was received in an Excel file containing sizes of fragments and</w:t>
      </w:r>
      <w:r w:rsidR="00C147DC" w:rsidRPr="0027088D">
        <w:rPr>
          <w:bCs/>
        </w:rPr>
        <w:t xml:space="preserve"> their corresponding</w:t>
      </w:r>
      <w:r w:rsidR="00A5260C" w:rsidRPr="0027088D">
        <w:rPr>
          <w:bCs/>
        </w:rPr>
        <w:t xml:space="preserve"> </w:t>
      </w:r>
      <w:r w:rsidR="007D383C" w:rsidRPr="0027088D">
        <w:rPr>
          <w:bCs/>
        </w:rPr>
        <w:t>intensit</w:t>
      </w:r>
      <w:r w:rsidR="00C147DC" w:rsidRPr="0027088D">
        <w:rPr>
          <w:bCs/>
        </w:rPr>
        <w:t>ies, peak heights</w:t>
      </w:r>
      <w:r w:rsidR="00A7774C" w:rsidRPr="0027088D">
        <w:rPr>
          <w:bCs/>
        </w:rPr>
        <w:t xml:space="preserve">, for each colony’s </w:t>
      </w:r>
      <w:r w:rsidR="005D434C">
        <w:rPr>
          <w:bCs/>
        </w:rPr>
        <w:t>surface microbial</w:t>
      </w:r>
      <w:r w:rsidR="00A7774C" w:rsidRPr="0027088D">
        <w:rPr>
          <w:bCs/>
        </w:rPr>
        <w:t xml:space="preserve"> community</w:t>
      </w:r>
      <w:r w:rsidR="00A5260C" w:rsidRPr="0027088D">
        <w:rPr>
          <w:bCs/>
        </w:rPr>
        <w:t xml:space="preserve">. </w:t>
      </w:r>
      <w:r w:rsidR="00C147DC" w:rsidRPr="0027088D">
        <w:rPr>
          <w:bCs/>
        </w:rPr>
        <w:t>The different sizes indicate</w:t>
      </w:r>
      <w:r w:rsidR="00286629" w:rsidRPr="0027088D">
        <w:rPr>
          <w:bCs/>
        </w:rPr>
        <w:t xml:space="preserve"> the presence of different species or groups of species</w:t>
      </w:r>
      <w:r w:rsidR="00C147DC" w:rsidRPr="0027088D">
        <w:rPr>
          <w:bCs/>
        </w:rPr>
        <w:t xml:space="preserve"> </w:t>
      </w:r>
      <w:r w:rsidR="00A7774C" w:rsidRPr="0027088D">
        <w:rPr>
          <w:bCs/>
        </w:rPr>
        <w:t>in the</w:t>
      </w:r>
      <w:r w:rsidR="00C358A2" w:rsidRPr="0027088D">
        <w:rPr>
          <w:bCs/>
        </w:rPr>
        <w:t xml:space="preserve"> bacterial community, </w:t>
      </w:r>
      <w:r w:rsidR="00C147DC" w:rsidRPr="0027088D">
        <w:rPr>
          <w:bCs/>
        </w:rPr>
        <w:t>and the heights of the sizes denote the</w:t>
      </w:r>
      <w:r w:rsidR="00C358A2" w:rsidRPr="0027088D">
        <w:rPr>
          <w:bCs/>
        </w:rPr>
        <w:t xml:space="preserve"> abundance of those</w:t>
      </w:r>
      <w:r w:rsidR="00C147DC" w:rsidRPr="0027088D">
        <w:rPr>
          <w:bCs/>
        </w:rPr>
        <w:t xml:space="preserve"> species or group of species</w:t>
      </w:r>
      <w:r w:rsidR="00286629" w:rsidRPr="0027088D">
        <w:rPr>
          <w:bCs/>
        </w:rPr>
        <w:t xml:space="preserve">. </w:t>
      </w:r>
      <w:r w:rsidR="00A7774C" w:rsidRPr="0027088D">
        <w:rPr>
          <w:bCs/>
        </w:rPr>
        <w:t>R</w:t>
      </w:r>
      <w:r w:rsidR="00C358A2" w:rsidRPr="0027088D">
        <w:rPr>
          <w:bCs/>
        </w:rPr>
        <w:t xml:space="preserve">elative abundances of the </w:t>
      </w:r>
      <w:r w:rsidR="00A7774C" w:rsidRPr="0027088D">
        <w:rPr>
          <w:bCs/>
        </w:rPr>
        <w:t xml:space="preserve">sizes </w:t>
      </w:r>
      <w:r w:rsidR="00D91D83" w:rsidRPr="0027088D">
        <w:rPr>
          <w:bCs/>
        </w:rPr>
        <w:t xml:space="preserve">were used as a </w:t>
      </w:r>
      <w:r w:rsidR="00A7774C" w:rsidRPr="0027088D">
        <w:rPr>
          <w:bCs/>
        </w:rPr>
        <w:t>reflect</w:t>
      </w:r>
      <w:r w:rsidR="00D91D83" w:rsidRPr="0027088D">
        <w:rPr>
          <w:bCs/>
        </w:rPr>
        <w:t>ion of</w:t>
      </w:r>
      <w:r w:rsidR="00A7774C" w:rsidRPr="0027088D">
        <w:rPr>
          <w:bCs/>
        </w:rPr>
        <w:t xml:space="preserve"> the composition of a colony’s </w:t>
      </w:r>
      <w:r w:rsidR="00BE196B">
        <w:rPr>
          <w:bCs/>
        </w:rPr>
        <w:t>surface microbial</w:t>
      </w:r>
      <w:r w:rsidR="00A7774C" w:rsidRPr="0027088D">
        <w:rPr>
          <w:bCs/>
        </w:rPr>
        <w:t xml:space="preserve"> community</w:t>
      </w:r>
      <w:r w:rsidR="00C358A2" w:rsidRPr="0027088D">
        <w:rPr>
          <w:bCs/>
        </w:rPr>
        <w:t xml:space="preserve">. </w:t>
      </w:r>
      <w:r w:rsidR="000C5BFE" w:rsidRPr="0027088D">
        <w:rPr>
          <w:bCs/>
        </w:rPr>
        <w:t>Community</w:t>
      </w:r>
      <w:r w:rsidR="002A1E84" w:rsidRPr="0027088D">
        <w:rPr>
          <w:bCs/>
        </w:rPr>
        <w:t xml:space="preserve"> profiles were visualized in bar graphs containing the lengths along the horizontal axis and corresponding relative abundance along the vertical axis (</w:t>
      </w:r>
      <w:r w:rsidR="009D4697" w:rsidRPr="0027088D">
        <w:rPr>
          <w:b/>
          <w:bCs/>
        </w:rPr>
        <w:t>Figure 2</w:t>
      </w:r>
      <w:r w:rsidR="002A1E84" w:rsidRPr="0027088D">
        <w:rPr>
          <w:bCs/>
        </w:rPr>
        <w:t xml:space="preserve">). </w:t>
      </w:r>
    </w:p>
    <w:p w:rsidR="00041731" w:rsidRDefault="00041731" w:rsidP="00963E02">
      <w:pPr>
        <w:jc w:val="left"/>
        <w:rPr>
          <w:b/>
          <w:bCs/>
        </w:rPr>
      </w:pPr>
    </w:p>
    <w:p w:rsidR="009D4697" w:rsidRPr="0027088D" w:rsidRDefault="00BE196B" w:rsidP="00963E02">
      <w:pPr>
        <w:jc w:val="left"/>
        <w:rPr>
          <w:bCs/>
        </w:rPr>
      </w:pPr>
      <w:r>
        <w:rPr>
          <w:b/>
          <w:bCs/>
        </w:rPr>
        <w:t>Surface microbial</w:t>
      </w:r>
      <w:r w:rsidR="005835FE" w:rsidRPr="0027088D">
        <w:rPr>
          <w:b/>
          <w:bCs/>
        </w:rPr>
        <w:t xml:space="preserve"> c</w:t>
      </w:r>
      <w:r w:rsidR="002A1E84" w:rsidRPr="0027088D">
        <w:rPr>
          <w:b/>
          <w:bCs/>
        </w:rPr>
        <w:t>ommunity</w:t>
      </w:r>
      <w:r w:rsidR="005835FE" w:rsidRPr="0027088D">
        <w:rPr>
          <w:b/>
          <w:bCs/>
        </w:rPr>
        <w:t xml:space="preserve"> composition</w:t>
      </w:r>
      <w:r w:rsidR="002A1E84" w:rsidRPr="0027088D">
        <w:rPr>
          <w:b/>
          <w:bCs/>
        </w:rPr>
        <w:t xml:space="preserve"> comparison</w:t>
      </w:r>
      <w:r w:rsidR="002A1E84" w:rsidRPr="0027088D">
        <w:rPr>
          <w:bCs/>
        </w:rPr>
        <w:t xml:space="preserve">. </w:t>
      </w:r>
      <w:r w:rsidR="00A34502" w:rsidRPr="0027088D">
        <w:rPr>
          <w:bCs/>
        </w:rPr>
        <w:t xml:space="preserve">A </w:t>
      </w:r>
      <w:r w:rsidR="005835FE" w:rsidRPr="0027088D">
        <w:rPr>
          <w:bCs/>
        </w:rPr>
        <w:t xml:space="preserve">Bray-Curtis similarity </w:t>
      </w:r>
      <w:r w:rsidR="00DA2554" w:rsidRPr="0027088D">
        <w:rPr>
          <w:bCs/>
        </w:rPr>
        <w:t>distance matrix was designed</w:t>
      </w:r>
      <w:r w:rsidR="00CA7631" w:rsidRPr="0027088D">
        <w:rPr>
          <w:bCs/>
        </w:rPr>
        <w:t xml:space="preserve"> on the </w:t>
      </w:r>
      <w:r w:rsidR="00A34502" w:rsidRPr="0027088D">
        <w:rPr>
          <w:bCs/>
        </w:rPr>
        <w:t>standardized by total, root-transformed relative abundances</w:t>
      </w:r>
      <w:r w:rsidR="00CA7631" w:rsidRPr="0027088D">
        <w:rPr>
          <w:bCs/>
        </w:rPr>
        <w:t>.</w:t>
      </w:r>
      <w:r w:rsidR="006C0DCA" w:rsidRPr="0027088D">
        <w:rPr>
          <w:bCs/>
        </w:rPr>
        <w:t xml:space="preserve"> </w:t>
      </w:r>
      <w:r w:rsidR="00A34502" w:rsidRPr="0027088D">
        <w:rPr>
          <w:bCs/>
        </w:rPr>
        <w:t xml:space="preserve">The </w:t>
      </w:r>
      <w:r w:rsidR="006C0DCA" w:rsidRPr="0027088D">
        <w:rPr>
          <w:bCs/>
        </w:rPr>
        <w:t xml:space="preserve">differences in communities of colonies </w:t>
      </w:r>
      <w:r w:rsidR="00A34502" w:rsidRPr="0027088D">
        <w:rPr>
          <w:bCs/>
        </w:rPr>
        <w:t xml:space="preserve">calculated in the Bray-Curtis similarity matrix </w:t>
      </w:r>
      <w:r w:rsidR="006C0DCA" w:rsidRPr="0027088D">
        <w:rPr>
          <w:bCs/>
        </w:rPr>
        <w:t xml:space="preserve">were visualized with </w:t>
      </w:r>
      <w:r w:rsidR="00A34502" w:rsidRPr="0027088D">
        <w:rPr>
          <w:bCs/>
        </w:rPr>
        <w:t xml:space="preserve">planar and three-dimensional </w:t>
      </w:r>
      <w:r w:rsidR="006C0DCA" w:rsidRPr="0027088D">
        <w:rPr>
          <w:bCs/>
        </w:rPr>
        <w:t>multidimensional scaled</w:t>
      </w:r>
      <w:r w:rsidR="00CA7631" w:rsidRPr="0027088D">
        <w:rPr>
          <w:bCs/>
        </w:rPr>
        <w:t xml:space="preserve"> (MDS)</w:t>
      </w:r>
      <w:r w:rsidR="006C0DCA" w:rsidRPr="0027088D">
        <w:rPr>
          <w:bCs/>
        </w:rPr>
        <w:t xml:space="preserve"> plots (</w:t>
      </w:r>
      <w:r w:rsidR="006C0DCA" w:rsidRPr="0027088D">
        <w:rPr>
          <w:b/>
          <w:bCs/>
        </w:rPr>
        <w:t xml:space="preserve">Figure </w:t>
      </w:r>
      <w:r w:rsidR="009D4697" w:rsidRPr="0027088D">
        <w:rPr>
          <w:b/>
          <w:bCs/>
        </w:rPr>
        <w:t>3</w:t>
      </w:r>
      <w:r w:rsidR="009D4697" w:rsidRPr="0027088D">
        <w:rPr>
          <w:bCs/>
        </w:rPr>
        <w:t xml:space="preserve"> and </w:t>
      </w:r>
      <w:r w:rsidR="009D4697" w:rsidRPr="0027088D">
        <w:rPr>
          <w:b/>
          <w:bCs/>
        </w:rPr>
        <w:t>Figure 4</w:t>
      </w:r>
      <w:r w:rsidR="006C0DCA" w:rsidRPr="0027088D">
        <w:rPr>
          <w:bCs/>
        </w:rPr>
        <w:t>).</w:t>
      </w:r>
      <w:r w:rsidR="002A1E84" w:rsidRPr="0027088D">
        <w:rPr>
          <w:bCs/>
        </w:rPr>
        <w:t xml:space="preserve"> </w:t>
      </w:r>
    </w:p>
    <w:p w:rsidR="00C147DC" w:rsidRPr="0027088D" w:rsidRDefault="00C33EEB" w:rsidP="00963E02">
      <w:pPr>
        <w:ind w:firstLine="720"/>
        <w:jc w:val="left"/>
        <w:rPr>
          <w:bCs/>
        </w:rPr>
      </w:pPr>
      <w:r w:rsidRPr="0027088D">
        <w:rPr>
          <w:bCs/>
        </w:rPr>
        <w:t xml:space="preserve">Because both discharge level and location can impact a coral’s </w:t>
      </w:r>
      <w:r w:rsidR="00BE196B">
        <w:rPr>
          <w:bCs/>
        </w:rPr>
        <w:t>surface</w:t>
      </w:r>
      <w:r w:rsidRPr="0027088D">
        <w:rPr>
          <w:bCs/>
        </w:rPr>
        <w:t xml:space="preserve"> community, a two-way crossed ANOSIM was ran</w:t>
      </w:r>
      <w:r w:rsidR="002945E0">
        <w:rPr>
          <w:bCs/>
        </w:rPr>
        <w:t xml:space="preserve"> in PRIMER 6</w:t>
      </w:r>
      <w:r w:rsidRPr="0027088D">
        <w:rPr>
          <w:bCs/>
        </w:rPr>
        <w:t xml:space="preserve"> to identify s</w:t>
      </w:r>
      <w:r w:rsidR="00CA7631" w:rsidRPr="0027088D">
        <w:rPr>
          <w:bCs/>
        </w:rPr>
        <w:t>tatistically significant d</w:t>
      </w:r>
      <w:r w:rsidR="006C0DCA" w:rsidRPr="0027088D">
        <w:rPr>
          <w:bCs/>
        </w:rPr>
        <w:t>ifferences in community composition</w:t>
      </w:r>
      <w:r w:rsidR="00A34502" w:rsidRPr="0027088D">
        <w:rPr>
          <w:bCs/>
        </w:rPr>
        <w:t xml:space="preserve"> due to</w:t>
      </w:r>
      <w:r w:rsidRPr="0027088D">
        <w:rPr>
          <w:bCs/>
        </w:rPr>
        <w:t xml:space="preserve"> both factors</w:t>
      </w:r>
      <w:r w:rsidR="00697BC8" w:rsidRPr="0027088D">
        <w:rPr>
          <w:bCs/>
        </w:rPr>
        <w:t xml:space="preserve"> (R max=1, p=0.05)</w:t>
      </w:r>
      <w:r w:rsidRPr="0027088D">
        <w:rPr>
          <w:bCs/>
        </w:rPr>
        <w:t xml:space="preserve"> The two-way ANOSIM was performed on the square-root transformed distance matrix. </w:t>
      </w:r>
      <w:r w:rsidR="002945E0">
        <w:rPr>
          <w:bCs/>
        </w:rPr>
        <w:t>S</w:t>
      </w:r>
      <w:r w:rsidR="002945E0" w:rsidRPr="002945E0">
        <w:rPr>
          <w:bCs/>
        </w:rPr>
        <w:t>imilarity percentage (SIMPER) was used to determine how much each amplicon differed in abundance between the discharge groups.</w:t>
      </w:r>
      <w:r w:rsidR="002945E0">
        <w:rPr>
          <w:bCs/>
        </w:rPr>
        <w:t xml:space="preserve"> Additionally, o</w:t>
      </w:r>
      <w:r w:rsidR="00697BC8" w:rsidRPr="0027088D">
        <w:rPr>
          <w:bCs/>
        </w:rPr>
        <w:t xml:space="preserve">ne-way ANOSIMs were run at each discharge level to </w:t>
      </w:r>
      <w:r w:rsidRPr="0027088D">
        <w:rPr>
          <w:bCs/>
        </w:rPr>
        <w:t xml:space="preserve">identify whether or not location was a significant factor </w:t>
      </w:r>
      <w:r w:rsidR="00697BC8" w:rsidRPr="0027088D">
        <w:rPr>
          <w:bCs/>
        </w:rPr>
        <w:t xml:space="preserve">only </w:t>
      </w:r>
      <w:r w:rsidR="00A34502" w:rsidRPr="0027088D">
        <w:rPr>
          <w:bCs/>
        </w:rPr>
        <w:t>at a single discharge level</w:t>
      </w:r>
      <w:r w:rsidR="00697BC8" w:rsidRPr="0027088D">
        <w:rPr>
          <w:bCs/>
        </w:rPr>
        <w:t xml:space="preserve"> or both</w:t>
      </w:r>
      <w:r w:rsidR="00D91D83" w:rsidRPr="0027088D">
        <w:rPr>
          <w:bCs/>
        </w:rPr>
        <w:t>.</w:t>
      </w:r>
      <w:r w:rsidR="00FD58E5" w:rsidRPr="0027088D">
        <w:rPr>
          <w:bCs/>
        </w:rPr>
        <w:t xml:space="preserve"> </w:t>
      </w:r>
      <w:r w:rsidR="002A1E84" w:rsidRPr="0027088D">
        <w:rPr>
          <w:bCs/>
        </w:rPr>
        <w:t xml:space="preserve"> </w:t>
      </w:r>
    </w:p>
    <w:p w:rsidR="005835FE" w:rsidRPr="0027088D" w:rsidRDefault="005835FE" w:rsidP="00963E02">
      <w:pPr>
        <w:jc w:val="left"/>
        <w:rPr>
          <w:bCs/>
        </w:rPr>
      </w:pPr>
    </w:p>
    <w:p w:rsidR="00FD58E5" w:rsidRDefault="005835FE" w:rsidP="00963E02">
      <w:pPr>
        <w:rPr>
          <w:bCs/>
          <w:smallCaps/>
        </w:rPr>
      </w:pPr>
      <w:r w:rsidRPr="0027088D">
        <w:rPr>
          <w:bCs/>
          <w:smallCaps/>
        </w:rPr>
        <w:t>Results</w:t>
      </w:r>
    </w:p>
    <w:p w:rsidR="00041731" w:rsidRPr="0027088D" w:rsidRDefault="00041731" w:rsidP="00963E02">
      <w:pPr>
        <w:rPr>
          <w:bCs/>
          <w:smallCaps/>
        </w:rPr>
      </w:pPr>
    </w:p>
    <w:p w:rsidR="00FD58E5" w:rsidRDefault="00FC28F9" w:rsidP="00963E02">
      <w:pPr>
        <w:jc w:val="left"/>
        <w:rPr>
          <w:bCs/>
        </w:rPr>
      </w:pPr>
      <w:r w:rsidRPr="0027088D">
        <w:rPr>
          <w:b/>
          <w:bCs/>
        </w:rPr>
        <w:t>I</w:t>
      </w:r>
      <w:r w:rsidR="005835FE" w:rsidRPr="0027088D">
        <w:rPr>
          <w:b/>
          <w:bCs/>
        </w:rPr>
        <w:t xml:space="preserve">nfluence </w:t>
      </w:r>
      <w:r w:rsidRPr="0027088D">
        <w:rPr>
          <w:b/>
          <w:bCs/>
        </w:rPr>
        <w:t xml:space="preserve">of discharge level </w:t>
      </w:r>
      <w:r w:rsidR="005835FE" w:rsidRPr="0027088D">
        <w:rPr>
          <w:b/>
          <w:bCs/>
        </w:rPr>
        <w:t xml:space="preserve">on </w:t>
      </w:r>
      <w:r w:rsidR="00BE196B">
        <w:rPr>
          <w:b/>
          <w:bCs/>
        </w:rPr>
        <w:t>surface</w:t>
      </w:r>
      <w:r w:rsidR="00583930" w:rsidRPr="0027088D">
        <w:rPr>
          <w:b/>
          <w:bCs/>
        </w:rPr>
        <w:t xml:space="preserve"> </w:t>
      </w:r>
      <w:r w:rsidR="005835FE" w:rsidRPr="0027088D">
        <w:rPr>
          <w:b/>
          <w:bCs/>
        </w:rPr>
        <w:t>community composition.</w:t>
      </w:r>
      <w:r w:rsidR="005835FE" w:rsidRPr="0027088D">
        <w:rPr>
          <w:bCs/>
        </w:rPr>
        <w:t xml:space="preserve"> </w:t>
      </w:r>
      <w:r w:rsidR="00CA7631" w:rsidRPr="0027088D">
        <w:rPr>
          <w:bCs/>
        </w:rPr>
        <w:t xml:space="preserve">LH-PCR profiles of the microbial communities </w:t>
      </w:r>
      <w:r w:rsidR="005D434C">
        <w:rPr>
          <w:bCs/>
        </w:rPr>
        <w:t>o</w:t>
      </w:r>
      <w:r w:rsidR="00CA7631" w:rsidRPr="0027088D">
        <w:rPr>
          <w:bCs/>
        </w:rPr>
        <w:t xml:space="preserve">n the </w:t>
      </w:r>
      <w:r w:rsidR="005D434C">
        <w:rPr>
          <w:bCs/>
        </w:rPr>
        <w:t>surface</w:t>
      </w:r>
      <w:r w:rsidR="00CA7631" w:rsidRPr="0027088D">
        <w:rPr>
          <w:bCs/>
        </w:rPr>
        <w:t xml:space="preserve"> of the coral colonies were received for 25 colonies. </w:t>
      </w:r>
      <w:r w:rsidR="00323D14" w:rsidRPr="0027088D">
        <w:rPr>
          <w:bCs/>
        </w:rPr>
        <w:t>Rang</w:t>
      </w:r>
      <w:r w:rsidRPr="0027088D">
        <w:rPr>
          <w:bCs/>
        </w:rPr>
        <w:t>ing from in</w:t>
      </w:r>
      <w:r w:rsidR="00323D14" w:rsidRPr="0027088D">
        <w:rPr>
          <w:bCs/>
        </w:rPr>
        <w:t xml:space="preserve"> length </w:t>
      </w:r>
      <w:r w:rsidRPr="0027088D">
        <w:rPr>
          <w:bCs/>
        </w:rPr>
        <w:t>from</w:t>
      </w:r>
      <w:r w:rsidR="00323D14" w:rsidRPr="0027088D">
        <w:rPr>
          <w:bCs/>
        </w:rPr>
        <w:t xml:space="preserve"> 302 base pairs (bp) to 372 bp, a total of 33 distinct </w:t>
      </w:r>
      <w:r w:rsidR="002945E0">
        <w:rPr>
          <w:bCs/>
        </w:rPr>
        <w:t>amplicon lengths</w:t>
      </w:r>
      <w:r w:rsidR="00323D14" w:rsidRPr="0027088D">
        <w:rPr>
          <w:bCs/>
        </w:rPr>
        <w:t xml:space="preserve"> were detected within the communities</w:t>
      </w:r>
      <w:r w:rsidR="00CA7631" w:rsidRPr="0027088D">
        <w:rPr>
          <w:bCs/>
        </w:rPr>
        <w:t>.</w:t>
      </w:r>
      <w:r w:rsidR="00323D14" w:rsidRPr="0027088D">
        <w:rPr>
          <w:bCs/>
        </w:rPr>
        <w:t xml:space="preserve"> The SML communities of coral exposed to low levels of discharge water contained </w:t>
      </w:r>
      <w:r w:rsidR="002945E0">
        <w:rPr>
          <w:bCs/>
        </w:rPr>
        <w:t>amplicon lengths</w:t>
      </w:r>
      <w:r w:rsidR="00323D14" w:rsidRPr="0027088D">
        <w:rPr>
          <w:bCs/>
        </w:rPr>
        <w:t xml:space="preserve"> which ranged from 302 bp to 372 bp, and those exposed to high levels of discharge water contained </w:t>
      </w:r>
      <w:r w:rsidR="002945E0">
        <w:rPr>
          <w:bCs/>
        </w:rPr>
        <w:t>lengths</w:t>
      </w:r>
      <w:r w:rsidR="00323D14" w:rsidRPr="0027088D">
        <w:rPr>
          <w:bCs/>
        </w:rPr>
        <w:t xml:space="preserve"> ranging from 302 bp to 368 bp. </w:t>
      </w:r>
      <w:r w:rsidR="00323D14" w:rsidRPr="0027088D">
        <w:rPr>
          <w:b/>
          <w:bCs/>
        </w:rPr>
        <w:t xml:space="preserve">Figure </w:t>
      </w:r>
      <w:r w:rsidR="009D4697" w:rsidRPr="0027088D">
        <w:rPr>
          <w:b/>
          <w:bCs/>
        </w:rPr>
        <w:t>2</w:t>
      </w:r>
      <w:r w:rsidR="00323D14" w:rsidRPr="0027088D">
        <w:rPr>
          <w:bCs/>
        </w:rPr>
        <w:t xml:space="preserve"> displays the average relative </w:t>
      </w:r>
      <w:r w:rsidR="00323D14" w:rsidRPr="0027088D">
        <w:rPr>
          <w:bCs/>
        </w:rPr>
        <w:lastRenderedPageBreak/>
        <w:t xml:space="preserve">abundances of each </w:t>
      </w:r>
      <w:r w:rsidR="002945E0">
        <w:rPr>
          <w:bCs/>
        </w:rPr>
        <w:t>amplicon length</w:t>
      </w:r>
      <w:r w:rsidR="00323D14" w:rsidRPr="0027088D">
        <w:rPr>
          <w:bCs/>
        </w:rPr>
        <w:t xml:space="preserve"> in the SML communities exposed to low levels of discharge water and high levels of discharge water.</w:t>
      </w:r>
    </w:p>
    <w:p w:rsidR="00BE196B" w:rsidRPr="0027088D" w:rsidRDefault="00BE196B" w:rsidP="00963E02">
      <w:pPr>
        <w:jc w:val="left"/>
        <w:rPr>
          <w:bCs/>
        </w:rPr>
      </w:pPr>
    </w:p>
    <w:p w:rsidR="00BE196B" w:rsidRDefault="00807E56" w:rsidP="00BE196B">
      <w:pPr>
        <w:keepNext/>
        <w:jc w:val="left"/>
      </w:pPr>
      <w:r>
        <w:rPr>
          <w:noProof/>
        </w:rPr>
        <w:drawing>
          <wp:inline distT="0" distB="0" distL="0" distR="0" wp14:anchorId="51D61293" wp14:editId="1C937270">
            <wp:extent cx="5943600" cy="3659505"/>
            <wp:effectExtent l="0" t="0" r="0" b="1714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747A3" w:rsidRPr="005D434C" w:rsidRDefault="00BE196B" w:rsidP="00BE196B">
      <w:pPr>
        <w:pStyle w:val="Caption"/>
        <w:jc w:val="left"/>
        <w:rPr>
          <w:bCs/>
          <w:i w:val="0"/>
          <w:color w:val="auto"/>
          <w:sz w:val="22"/>
          <w:szCs w:val="22"/>
        </w:rPr>
      </w:pPr>
      <w:r w:rsidRPr="005D434C">
        <w:rPr>
          <w:b/>
          <w:i w:val="0"/>
          <w:color w:val="auto"/>
          <w:sz w:val="22"/>
          <w:szCs w:val="22"/>
        </w:rPr>
        <w:t xml:space="preserve">Figure </w:t>
      </w:r>
      <w:r w:rsidRPr="005D434C">
        <w:rPr>
          <w:b/>
          <w:i w:val="0"/>
          <w:color w:val="auto"/>
          <w:sz w:val="22"/>
          <w:szCs w:val="22"/>
        </w:rPr>
        <w:fldChar w:fldCharType="begin"/>
      </w:r>
      <w:r w:rsidRPr="005D434C">
        <w:rPr>
          <w:b/>
          <w:i w:val="0"/>
          <w:color w:val="auto"/>
          <w:sz w:val="22"/>
          <w:szCs w:val="22"/>
        </w:rPr>
        <w:instrText xml:space="preserve"> SEQ Figure \* ARABIC </w:instrText>
      </w:r>
      <w:r w:rsidRPr="005D434C">
        <w:rPr>
          <w:b/>
          <w:i w:val="0"/>
          <w:color w:val="auto"/>
          <w:sz w:val="22"/>
          <w:szCs w:val="22"/>
        </w:rPr>
        <w:fldChar w:fldCharType="separate"/>
      </w:r>
      <w:r w:rsidR="001C17A4">
        <w:rPr>
          <w:b/>
          <w:i w:val="0"/>
          <w:noProof/>
          <w:color w:val="auto"/>
          <w:sz w:val="22"/>
          <w:szCs w:val="22"/>
        </w:rPr>
        <w:t>3</w:t>
      </w:r>
      <w:r w:rsidRPr="005D434C">
        <w:rPr>
          <w:b/>
          <w:i w:val="0"/>
          <w:color w:val="auto"/>
          <w:sz w:val="22"/>
          <w:szCs w:val="22"/>
        </w:rPr>
        <w:fldChar w:fldCharType="end"/>
      </w:r>
      <w:r w:rsidRPr="005D434C">
        <w:rPr>
          <w:i w:val="0"/>
          <w:color w:val="auto"/>
          <w:sz w:val="22"/>
          <w:szCs w:val="22"/>
        </w:rPr>
        <w:t xml:space="preserve"> SML microbial community profiles of the average profile of coral colonies exposed to the low level of discharge water and high level of discharge water.</w:t>
      </w:r>
    </w:p>
    <w:p w:rsidR="00FD64AB" w:rsidRDefault="00AE2076" w:rsidP="00963E02">
      <w:pPr>
        <w:jc w:val="left"/>
        <w:rPr>
          <w:bCs/>
        </w:rPr>
      </w:pPr>
      <w:r w:rsidRPr="0027088D">
        <w:rPr>
          <w:bCs/>
          <w:noProof/>
        </w:rPr>
        <w:drawing>
          <wp:anchor distT="0" distB="0" distL="114300" distR="114300" simplePos="0" relativeHeight="251658240" behindDoc="0" locked="0" layoutInCell="1" allowOverlap="1" wp14:anchorId="2E4C1E49" wp14:editId="3932B514">
            <wp:simplePos x="0" y="0"/>
            <wp:positionH relativeFrom="column">
              <wp:posOffset>-9525</wp:posOffset>
            </wp:positionH>
            <wp:positionV relativeFrom="paragraph">
              <wp:posOffset>1268095</wp:posOffset>
            </wp:positionV>
            <wp:extent cx="5943600" cy="2362200"/>
            <wp:effectExtent l="19050" t="19050" r="19050" b="190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ar MDS plot for paper HBOI.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362200"/>
                    </a:xfrm>
                    <a:prstGeom prst="rect">
                      <a:avLst/>
                    </a:prstGeom>
                    <a:ln>
                      <a:solidFill>
                        <a:schemeClr val="tx1"/>
                      </a:solidFill>
                    </a:ln>
                  </pic:spPr>
                </pic:pic>
              </a:graphicData>
            </a:graphic>
          </wp:anchor>
        </w:drawing>
      </w:r>
      <w:r w:rsidR="00DA2554" w:rsidRPr="0027088D">
        <w:rPr>
          <w:bCs/>
        </w:rPr>
        <w:tab/>
      </w:r>
      <w:r w:rsidR="00F34367" w:rsidRPr="0027088D">
        <w:rPr>
          <w:bCs/>
        </w:rPr>
        <w:t xml:space="preserve">In both the planar </w:t>
      </w:r>
      <w:r w:rsidR="00FD64AB" w:rsidRPr="0027088D">
        <w:rPr>
          <w:bCs/>
        </w:rPr>
        <w:t>MDS plots</w:t>
      </w:r>
      <w:r w:rsidR="00BE196B">
        <w:rPr>
          <w:bCs/>
        </w:rPr>
        <w:t xml:space="preserve"> of the surface</w:t>
      </w:r>
      <w:r w:rsidR="00FC28F9" w:rsidRPr="0027088D">
        <w:rPr>
          <w:bCs/>
        </w:rPr>
        <w:t xml:space="preserve"> communities, </w:t>
      </w:r>
      <w:r w:rsidR="00F34367" w:rsidRPr="0027088D">
        <w:rPr>
          <w:bCs/>
        </w:rPr>
        <w:t>the communities</w:t>
      </w:r>
      <w:r w:rsidR="00FC28F9" w:rsidRPr="0027088D">
        <w:rPr>
          <w:bCs/>
        </w:rPr>
        <w:t xml:space="preserve"> of colonies</w:t>
      </w:r>
      <w:r w:rsidR="00F34367" w:rsidRPr="0027088D">
        <w:rPr>
          <w:bCs/>
        </w:rPr>
        <w:t xml:space="preserve"> exposed to the low level of discharge water are clustered separately from those exposed to the high level of discharge water</w:t>
      </w:r>
      <w:r w:rsidR="00FD64AB" w:rsidRPr="0027088D">
        <w:rPr>
          <w:bCs/>
        </w:rPr>
        <w:t xml:space="preserve"> (</w:t>
      </w:r>
      <w:r w:rsidR="00FD64AB" w:rsidRPr="0027088D">
        <w:rPr>
          <w:b/>
          <w:bCs/>
        </w:rPr>
        <w:t xml:space="preserve">Figure </w:t>
      </w:r>
      <w:r w:rsidR="00BE196B">
        <w:rPr>
          <w:b/>
          <w:bCs/>
        </w:rPr>
        <w:t>4</w:t>
      </w:r>
      <w:r w:rsidR="00FD64AB" w:rsidRPr="0027088D">
        <w:rPr>
          <w:bCs/>
        </w:rPr>
        <w:t>).</w:t>
      </w:r>
      <w:r w:rsidR="00F34367" w:rsidRPr="0027088D">
        <w:rPr>
          <w:bCs/>
        </w:rPr>
        <w:t xml:space="preserve"> </w:t>
      </w:r>
      <w:r w:rsidR="00FC28F9" w:rsidRPr="0027088D">
        <w:rPr>
          <w:bCs/>
        </w:rPr>
        <w:t>Positioned relatively distant from the other community composition points in the MDS plot, t</w:t>
      </w:r>
      <w:r w:rsidR="00F34367" w:rsidRPr="0027088D">
        <w:rPr>
          <w:bCs/>
        </w:rPr>
        <w:t xml:space="preserve">he </w:t>
      </w:r>
      <w:r w:rsidR="00A65E84" w:rsidRPr="0027088D">
        <w:rPr>
          <w:bCs/>
        </w:rPr>
        <w:t>composition of</w:t>
      </w:r>
      <w:r w:rsidR="00F34367" w:rsidRPr="0027088D">
        <w:rPr>
          <w:bCs/>
        </w:rPr>
        <w:t xml:space="preserve"> </w:t>
      </w:r>
      <w:r w:rsidR="00B51D7F" w:rsidRPr="0027088D">
        <w:rPr>
          <w:bCs/>
        </w:rPr>
        <w:t>S</w:t>
      </w:r>
      <w:r w:rsidR="00BE196B">
        <w:rPr>
          <w:bCs/>
        </w:rPr>
        <w:t>C</w:t>
      </w:r>
      <w:r w:rsidR="00F34367" w:rsidRPr="0027088D">
        <w:rPr>
          <w:bCs/>
        </w:rPr>
        <w:t>21</w:t>
      </w:r>
      <w:r w:rsidR="00FC28F9" w:rsidRPr="0027088D">
        <w:rPr>
          <w:bCs/>
        </w:rPr>
        <w:t xml:space="preserve"> </w:t>
      </w:r>
      <w:r w:rsidR="00F34367" w:rsidRPr="0027088D">
        <w:rPr>
          <w:bCs/>
        </w:rPr>
        <w:t>is very distinct from</w:t>
      </w:r>
      <w:r w:rsidR="00FC28F9" w:rsidRPr="0027088D">
        <w:rPr>
          <w:bCs/>
        </w:rPr>
        <w:t xml:space="preserve"> all of</w:t>
      </w:r>
      <w:r w:rsidR="00F34367" w:rsidRPr="0027088D">
        <w:rPr>
          <w:bCs/>
        </w:rPr>
        <w:t xml:space="preserve"> the other communities</w:t>
      </w:r>
      <w:r w:rsidR="00A65E84" w:rsidRPr="0027088D">
        <w:rPr>
          <w:bCs/>
        </w:rPr>
        <w:t>, possibly</w:t>
      </w:r>
      <w:r w:rsidR="00B51D7F" w:rsidRPr="0027088D">
        <w:rPr>
          <w:bCs/>
        </w:rPr>
        <w:t xml:space="preserve"> a result of contamination in the sample</w:t>
      </w:r>
      <w:r w:rsidR="00F34367" w:rsidRPr="0027088D">
        <w:rPr>
          <w:bCs/>
        </w:rPr>
        <w:t xml:space="preserve">. </w:t>
      </w:r>
      <w:r w:rsidR="00A65E84" w:rsidRPr="0027088D">
        <w:rPr>
          <w:bCs/>
        </w:rPr>
        <w:t>The point representing the</w:t>
      </w:r>
      <w:r w:rsidR="00FC28F9" w:rsidRPr="0027088D">
        <w:rPr>
          <w:bCs/>
        </w:rPr>
        <w:t xml:space="preserve"> </w:t>
      </w:r>
      <w:r w:rsidR="00A65E84" w:rsidRPr="0027088D">
        <w:rPr>
          <w:bCs/>
        </w:rPr>
        <w:t>composition of SM13</w:t>
      </w:r>
      <w:r w:rsidR="00B51D7F" w:rsidRPr="0027088D">
        <w:rPr>
          <w:bCs/>
        </w:rPr>
        <w:t xml:space="preserve"> </w:t>
      </w:r>
      <w:r w:rsidR="00FC28F9" w:rsidRPr="0027088D">
        <w:rPr>
          <w:bCs/>
        </w:rPr>
        <w:t xml:space="preserve">greatly deviates </w:t>
      </w:r>
      <w:r w:rsidR="00583930" w:rsidRPr="0027088D">
        <w:rPr>
          <w:bCs/>
        </w:rPr>
        <w:t xml:space="preserve">in position compared to </w:t>
      </w:r>
      <w:r w:rsidR="00FC28F9" w:rsidRPr="0027088D">
        <w:rPr>
          <w:bCs/>
        </w:rPr>
        <w:t>the o</w:t>
      </w:r>
      <w:r w:rsidR="00583930" w:rsidRPr="0027088D">
        <w:rPr>
          <w:bCs/>
        </w:rPr>
        <w:t>ther low discharge level points in the MDS plots.</w:t>
      </w:r>
    </w:p>
    <w:p w:rsidR="00BE196B" w:rsidRDefault="00BE196B" w:rsidP="00963E02">
      <w:pPr>
        <w:jc w:val="left"/>
        <w:rPr>
          <w:b/>
          <w:bCs/>
        </w:rPr>
      </w:pPr>
      <w:r>
        <w:rPr>
          <w:noProof/>
        </w:rPr>
        <w:lastRenderedPageBreak/>
        <mc:AlternateContent>
          <mc:Choice Requires="wps">
            <w:drawing>
              <wp:anchor distT="0" distB="0" distL="114300" distR="114300" simplePos="0" relativeHeight="251660288" behindDoc="0" locked="0" layoutInCell="1" allowOverlap="1" wp14:anchorId="167F4149" wp14:editId="2AF84AF6">
                <wp:simplePos x="0" y="0"/>
                <wp:positionH relativeFrom="column">
                  <wp:posOffset>-9525</wp:posOffset>
                </wp:positionH>
                <wp:positionV relativeFrom="paragraph">
                  <wp:posOffset>2663190</wp:posOffset>
                </wp:positionV>
                <wp:extent cx="5943600" cy="97155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943600" cy="971550"/>
                        </a:xfrm>
                        <a:prstGeom prst="rect">
                          <a:avLst/>
                        </a:prstGeom>
                        <a:solidFill>
                          <a:prstClr val="white"/>
                        </a:solidFill>
                        <a:ln>
                          <a:noFill/>
                        </a:ln>
                        <a:effectLst/>
                      </wps:spPr>
                      <wps:txbx>
                        <w:txbxContent>
                          <w:p w:rsidR="009619B5" w:rsidRPr="005D434C" w:rsidRDefault="009619B5" w:rsidP="00BE196B">
                            <w:pPr>
                              <w:pStyle w:val="Caption"/>
                              <w:spacing w:after="0"/>
                              <w:jc w:val="left"/>
                              <w:rPr>
                                <w:i w:val="0"/>
                                <w:color w:val="auto"/>
                                <w:sz w:val="22"/>
                                <w:szCs w:val="22"/>
                              </w:rPr>
                            </w:pPr>
                            <w:r w:rsidRPr="005D434C">
                              <w:rPr>
                                <w:b/>
                                <w:i w:val="0"/>
                                <w:color w:val="auto"/>
                                <w:sz w:val="22"/>
                                <w:szCs w:val="22"/>
                              </w:rPr>
                              <w:t xml:space="preserve">Figure </w:t>
                            </w:r>
                            <w:r w:rsidRPr="005D434C">
                              <w:rPr>
                                <w:b/>
                                <w:i w:val="0"/>
                                <w:color w:val="auto"/>
                                <w:sz w:val="22"/>
                                <w:szCs w:val="22"/>
                              </w:rPr>
                              <w:fldChar w:fldCharType="begin"/>
                            </w:r>
                            <w:r w:rsidRPr="005D434C">
                              <w:rPr>
                                <w:b/>
                                <w:i w:val="0"/>
                                <w:color w:val="auto"/>
                                <w:sz w:val="22"/>
                                <w:szCs w:val="22"/>
                              </w:rPr>
                              <w:instrText xml:space="preserve"> SEQ Figure \* ARABIC </w:instrText>
                            </w:r>
                            <w:r w:rsidRPr="005D434C">
                              <w:rPr>
                                <w:b/>
                                <w:i w:val="0"/>
                                <w:color w:val="auto"/>
                                <w:sz w:val="22"/>
                                <w:szCs w:val="22"/>
                              </w:rPr>
                              <w:fldChar w:fldCharType="separate"/>
                            </w:r>
                            <w:r w:rsidR="001C17A4">
                              <w:rPr>
                                <w:b/>
                                <w:i w:val="0"/>
                                <w:noProof/>
                                <w:color w:val="auto"/>
                                <w:sz w:val="22"/>
                                <w:szCs w:val="22"/>
                              </w:rPr>
                              <w:t>4</w:t>
                            </w:r>
                            <w:r w:rsidRPr="005D434C">
                              <w:rPr>
                                <w:b/>
                                <w:i w:val="0"/>
                                <w:color w:val="auto"/>
                                <w:sz w:val="22"/>
                                <w:szCs w:val="22"/>
                              </w:rPr>
                              <w:fldChar w:fldCharType="end"/>
                            </w:r>
                            <w:r w:rsidRPr="005D434C">
                              <w:rPr>
                                <w:i w:val="0"/>
                                <w:color w:val="auto"/>
                                <w:sz w:val="22"/>
                                <w:szCs w:val="22"/>
                              </w:rPr>
                              <w:t xml:space="preserve"> Planar MDS plot from the standardized by total, square-root transformed Bray-Curtis similarity matrix of the SML microbial communities. Each point represents a single SML community’s composition. Its position is based on its similarity to the composition</w:t>
                            </w:r>
                          </w:p>
                          <w:p w:rsidR="009619B5" w:rsidRPr="005D434C" w:rsidRDefault="009619B5" w:rsidP="00BE196B">
                            <w:pPr>
                              <w:jc w:val="left"/>
                              <w:rPr>
                                <w:i/>
                              </w:rPr>
                            </w:pPr>
                            <w:r w:rsidRPr="005D434C">
                              <w:rPr>
                                <w:i/>
                              </w:rPr>
                              <w:t>Low = low discharge level</w:t>
                            </w:r>
                          </w:p>
                          <w:p w:rsidR="009619B5" w:rsidRPr="005D434C" w:rsidRDefault="009619B5" w:rsidP="00BE196B">
                            <w:pPr>
                              <w:jc w:val="left"/>
                              <w:rPr>
                                <w:i/>
                              </w:rPr>
                            </w:pPr>
                            <w:r w:rsidRPr="005D434C">
                              <w:rPr>
                                <w:i/>
                              </w:rPr>
                              <w:t>High = high discharge level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7F4149" id="_x0000_t202" coordsize="21600,21600" o:spt="202" path="m,l,21600r21600,l21600,xe">
                <v:stroke joinstyle="miter"/>
                <v:path gradientshapeok="t" o:connecttype="rect"/>
              </v:shapetype>
              <v:shape id="Text Box 6" o:spid="_x0000_s1026" type="#_x0000_t202" style="position:absolute;margin-left:-.75pt;margin-top:209.7pt;width:468pt;height:7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" stroked="f">
                <v:textbox inset="0,0,0,0">
                  <w:txbxContent>
                    <w:p w:rsidR="009619B5" w:rsidRPr="005D434C" w:rsidRDefault="009619B5" w:rsidP="00BE196B">
                      <w:pPr>
                        <w:pStyle w:val="Caption"/>
                        <w:spacing w:after="0"/>
                        <w:jc w:val="left"/>
                        <w:rPr>
                          <w:i w:val="0"/>
                          <w:color w:val="auto"/>
                          <w:sz w:val="22"/>
                          <w:szCs w:val="22"/>
                        </w:rPr>
                      </w:pPr>
                      <w:r w:rsidRPr="005D434C">
                        <w:rPr>
                          <w:b/>
                          <w:i w:val="0"/>
                          <w:color w:val="auto"/>
                          <w:sz w:val="22"/>
                          <w:szCs w:val="22"/>
                        </w:rPr>
                        <w:t xml:space="preserve">Figure </w:t>
                      </w:r>
                      <w:r w:rsidRPr="005D434C">
                        <w:rPr>
                          <w:b/>
                          <w:i w:val="0"/>
                          <w:color w:val="auto"/>
                          <w:sz w:val="22"/>
                          <w:szCs w:val="22"/>
                        </w:rPr>
                        <w:fldChar w:fldCharType="begin"/>
                      </w:r>
                      <w:r w:rsidRPr="005D434C">
                        <w:rPr>
                          <w:b/>
                          <w:i w:val="0"/>
                          <w:color w:val="auto"/>
                          <w:sz w:val="22"/>
                          <w:szCs w:val="22"/>
                        </w:rPr>
                        <w:instrText xml:space="preserve"> SEQ Figure \* ARABIC </w:instrText>
                      </w:r>
                      <w:r w:rsidRPr="005D434C">
                        <w:rPr>
                          <w:b/>
                          <w:i w:val="0"/>
                          <w:color w:val="auto"/>
                          <w:sz w:val="22"/>
                          <w:szCs w:val="22"/>
                        </w:rPr>
                        <w:fldChar w:fldCharType="separate"/>
                      </w:r>
                      <w:r w:rsidR="001C17A4">
                        <w:rPr>
                          <w:b/>
                          <w:i w:val="0"/>
                          <w:noProof/>
                          <w:color w:val="auto"/>
                          <w:sz w:val="22"/>
                          <w:szCs w:val="22"/>
                        </w:rPr>
                        <w:t>4</w:t>
                      </w:r>
                      <w:r w:rsidRPr="005D434C">
                        <w:rPr>
                          <w:b/>
                          <w:i w:val="0"/>
                          <w:color w:val="auto"/>
                          <w:sz w:val="22"/>
                          <w:szCs w:val="22"/>
                        </w:rPr>
                        <w:fldChar w:fldCharType="end"/>
                      </w:r>
                      <w:r w:rsidRPr="005D434C">
                        <w:rPr>
                          <w:i w:val="0"/>
                          <w:color w:val="auto"/>
                          <w:sz w:val="22"/>
                          <w:szCs w:val="22"/>
                        </w:rPr>
                        <w:t xml:space="preserve"> Planar MDS plot from the standardized by total, square-root transformed Bray-Curtis similarity matrix of the SML microbial communities. Each point represents a single SML community’s composition. Its position is based on its similarity to the composition</w:t>
                      </w:r>
                    </w:p>
                    <w:p w:rsidR="009619B5" w:rsidRPr="005D434C" w:rsidRDefault="009619B5" w:rsidP="00BE196B">
                      <w:pPr>
                        <w:jc w:val="left"/>
                        <w:rPr>
                          <w:i/>
                        </w:rPr>
                      </w:pPr>
                      <w:r w:rsidRPr="005D434C">
                        <w:rPr>
                          <w:i/>
                        </w:rPr>
                        <w:t>Low = low discharge level</w:t>
                      </w:r>
                    </w:p>
                    <w:p w:rsidR="009619B5" w:rsidRPr="005D434C" w:rsidRDefault="009619B5" w:rsidP="00BE196B">
                      <w:pPr>
                        <w:jc w:val="left"/>
                        <w:rPr>
                          <w:i/>
                        </w:rPr>
                      </w:pPr>
                      <w:r w:rsidRPr="005D434C">
                        <w:rPr>
                          <w:i/>
                        </w:rPr>
                        <w:t>High = high discharge level</w:t>
                      </w:r>
                    </w:p>
                  </w:txbxContent>
                </v:textbox>
                <w10:wrap type="square"/>
              </v:shape>
            </w:pict>
          </mc:Fallback>
        </mc:AlternateContent>
      </w:r>
    </w:p>
    <w:p w:rsidR="00FD58E5" w:rsidRPr="0027088D" w:rsidRDefault="00FD58E5" w:rsidP="00963E02">
      <w:pPr>
        <w:jc w:val="left"/>
        <w:rPr>
          <w:bCs/>
        </w:rPr>
      </w:pPr>
    </w:p>
    <w:p w:rsidR="00FD58E5" w:rsidRDefault="00583930" w:rsidP="0086642F">
      <w:pPr>
        <w:ind w:firstLine="720"/>
        <w:jc w:val="left"/>
        <w:rPr>
          <w:bCs/>
        </w:rPr>
      </w:pPr>
      <w:r w:rsidRPr="0027088D">
        <w:rPr>
          <w:bCs/>
        </w:rPr>
        <w:t xml:space="preserve">Statistical analysis of the influence of discharge level on SML community composition in a </w:t>
      </w:r>
      <w:r w:rsidR="00E747A3" w:rsidRPr="0027088D">
        <w:rPr>
          <w:bCs/>
        </w:rPr>
        <w:t>two-way crossed AN</w:t>
      </w:r>
      <w:r w:rsidRPr="0027088D">
        <w:rPr>
          <w:bCs/>
        </w:rPr>
        <w:t>OSIM (with replicates) corroborated the MDS plot distinction of the communities.</w:t>
      </w:r>
      <w:r w:rsidR="00E747A3" w:rsidRPr="0027088D">
        <w:rPr>
          <w:bCs/>
        </w:rPr>
        <w:t xml:space="preserve"> </w:t>
      </w:r>
      <w:r w:rsidRPr="0027088D">
        <w:rPr>
          <w:bCs/>
        </w:rPr>
        <w:t>T</w:t>
      </w:r>
      <w:r w:rsidR="00E747A3" w:rsidRPr="0027088D">
        <w:rPr>
          <w:bCs/>
        </w:rPr>
        <w:t xml:space="preserve">he SML communities exposed to the low level of discharge water were significantly different from those exposed to the high level of discharge water (p=0.001, R=0.549). </w:t>
      </w:r>
      <w:r w:rsidRPr="0027088D">
        <w:rPr>
          <w:bCs/>
        </w:rPr>
        <w:t>T</w:t>
      </w:r>
      <w:r w:rsidR="006F525F" w:rsidRPr="0027088D">
        <w:rPr>
          <w:bCs/>
        </w:rPr>
        <w:t>he location test result of this ANOSIM was significant (p=0.01, R=0.213), the low R value prevents interpretation of this result.</w:t>
      </w:r>
    </w:p>
    <w:p w:rsidR="00FE7244" w:rsidRDefault="0086642F" w:rsidP="00FE7244">
      <w:pPr>
        <w:ind w:firstLine="720"/>
        <w:jc w:val="left"/>
        <w:rPr>
          <w:bCs/>
        </w:rPr>
      </w:pPr>
      <w:r w:rsidRPr="0086642F">
        <w:rPr>
          <w:bCs/>
        </w:rPr>
        <w:t>The SML communities of the two discharge groups differed in the presence and abundance of 20 species or groups of species, represented by amplicon lengths. Each amplicon length contributed to roughly 10% or less of the difference</w:t>
      </w:r>
      <w:r w:rsidR="005C4336">
        <w:rPr>
          <w:bCs/>
        </w:rPr>
        <w:t>s</w:t>
      </w:r>
      <w:r w:rsidRPr="0086642F">
        <w:rPr>
          <w:bCs/>
        </w:rPr>
        <w:t xml:space="preserve"> between the groups. </w:t>
      </w:r>
      <w:r w:rsidR="005C4336">
        <w:rPr>
          <w:bCs/>
        </w:rPr>
        <w:t>Roughly 50% of the differences between the discharge groups is derived from the cont</w:t>
      </w:r>
      <w:r w:rsidR="0050186D">
        <w:rPr>
          <w:bCs/>
        </w:rPr>
        <w:t xml:space="preserve">ribution of 7 amplicon lengths. </w:t>
      </w:r>
      <w:r w:rsidR="00FE7244">
        <w:rPr>
          <w:bCs/>
        </w:rPr>
        <w:t>At 10.19%, t</w:t>
      </w:r>
      <w:r w:rsidR="0050186D">
        <w:rPr>
          <w:bCs/>
        </w:rPr>
        <w:t>he relative abundance of amplicon length</w:t>
      </w:r>
      <w:r w:rsidR="00FE7244">
        <w:rPr>
          <w:bCs/>
        </w:rPr>
        <w:t xml:space="preserve"> 345 contributes the most to the dissimilarity between the two groups</w:t>
      </w:r>
      <w:r w:rsidR="0050186D">
        <w:rPr>
          <w:bCs/>
        </w:rPr>
        <w:t xml:space="preserve">, followed by 313 at 9.87%, and 310 at 7.84%. </w:t>
      </w:r>
    </w:p>
    <w:p w:rsidR="00FE7244" w:rsidRPr="0086642F" w:rsidRDefault="00FE7244" w:rsidP="00FE7244">
      <w:pPr>
        <w:ind w:firstLine="720"/>
        <w:jc w:val="left"/>
        <w:rPr>
          <w:bCs/>
        </w:rPr>
      </w:pPr>
    </w:p>
    <w:p w:rsidR="0086642F" w:rsidRDefault="0086642F" w:rsidP="0086642F">
      <w:pPr>
        <w:jc w:val="left"/>
        <w:rPr>
          <w:bCs/>
        </w:rPr>
      </w:pPr>
      <w:r w:rsidRPr="005D434C">
        <w:rPr>
          <w:b/>
          <w:bCs/>
        </w:rPr>
        <w:t>Table 3.</w:t>
      </w:r>
      <w:r w:rsidRPr="0086642F">
        <w:rPr>
          <w:bCs/>
        </w:rPr>
        <w:t xml:space="preserve"> SIMPER output of dissimilarity between amplicon abundances in the discharge groups</w:t>
      </w:r>
    </w:p>
    <w:tbl>
      <w:tblPr>
        <w:tblStyle w:val="GridTable3"/>
        <w:tblW w:w="9239" w:type="dxa"/>
        <w:tblLook w:val="04A0" w:firstRow="1" w:lastRow="0" w:firstColumn="1" w:lastColumn="0" w:noHBand="0" w:noVBand="1"/>
      </w:tblPr>
      <w:tblGrid>
        <w:gridCol w:w="2160"/>
        <w:gridCol w:w="2160"/>
        <w:gridCol w:w="2250"/>
        <w:gridCol w:w="1350"/>
        <w:gridCol w:w="1319"/>
      </w:tblGrid>
      <w:tr w:rsidR="009F2E44" w:rsidRPr="009F2E44" w:rsidTr="009619B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160" w:type="dxa"/>
            <w:tcBorders>
              <w:bottom w:val="single" w:sz="4" w:space="0" w:color="auto"/>
              <w:right w:val="single" w:sz="4" w:space="0" w:color="auto"/>
            </w:tcBorders>
            <w:noWrap/>
            <w:vAlign w:val="center"/>
            <w:hideMark/>
          </w:tcPr>
          <w:p w:rsidR="009F2E44" w:rsidRPr="009F2E44" w:rsidRDefault="009F2E44" w:rsidP="009F2E44">
            <w:pPr>
              <w:jc w:val="left"/>
              <w:rPr>
                <w:i w:val="0"/>
              </w:rPr>
            </w:pPr>
            <w:r w:rsidRPr="009F2E44">
              <w:rPr>
                <w:i w:val="0"/>
              </w:rPr>
              <w:t>Amplicon length (bp)</w:t>
            </w:r>
          </w:p>
        </w:tc>
        <w:tc>
          <w:tcPr>
            <w:tcW w:w="2160" w:type="dxa"/>
            <w:tcBorders>
              <w:left w:val="single" w:sz="4" w:space="0" w:color="auto"/>
              <w:bottom w:val="single" w:sz="4" w:space="0" w:color="auto"/>
              <w:right w:val="single" w:sz="4" w:space="0" w:color="auto"/>
            </w:tcBorders>
            <w:noWrap/>
            <w:vAlign w:val="center"/>
            <w:hideMark/>
          </w:tcPr>
          <w:p w:rsidR="009F2E44" w:rsidRPr="009F2E44" w:rsidRDefault="009F2E44" w:rsidP="009F2E44">
            <w:pPr>
              <w:jc w:val="left"/>
              <w:cnfStyle w:val="100000000000" w:firstRow="1" w:lastRow="0" w:firstColumn="0" w:lastColumn="0" w:oddVBand="0" w:evenVBand="0" w:oddHBand="0" w:evenHBand="0" w:firstRowFirstColumn="0" w:firstRowLastColumn="0" w:lastRowFirstColumn="0" w:lastRowLastColumn="0"/>
            </w:pPr>
            <w:r w:rsidRPr="009F2E44">
              <w:t>LD mean rel. abund.</w:t>
            </w:r>
          </w:p>
        </w:tc>
        <w:tc>
          <w:tcPr>
            <w:tcW w:w="2250" w:type="dxa"/>
            <w:tcBorders>
              <w:left w:val="single" w:sz="4" w:space="0" w:color="auto"/>
              <w:bottom w:val="single" w:sz="4" w:space="0" w:color="auto"/>
              <w:right w:val="single" w:sz="4" w:space="0" w:color="auto"/>
            </w:tcBorders>
            <w:noWrap/>
            <w:vAlign w:val="center"/>
            <w:hideMark/>
          </w:tcPr>
          <w:p w:rsidR="009F2E44" w:rsidRPr="009F2E44" w:rsidRDefault="009F2E44" w:rsidP="009F2E44">
            <w:pPr>
              <w:jc w:val="left"/>
              <w:cnfStyle w:val="100000000000" w:firstRow="1" w:lastRow="0" w:firstColumn="0" w:lastColumn="0" w:oddVBand="0" w:evenVBand="0" w:oddHBand="0" w:evenHBand="0" w:firstRowFirstColumn="0" w:firstRowLastColumn="0" w:lastRowFirstColumn="0" w:lastRowLastColumn="0"/>
            </w:pPr>
            <w:r w:rsidRPr="009F2E44">
              <w:t>HD mean rel. abund.</w:t>
            </w:r>
          </w:p>
        </w:tc>
        <w:tc>
          <w:tcPr>
            <w:tcW w:w="1350" w:type="dxa"/>
            <w:tcBorders>
              <w:left w:val="single" w:sz="4" w:space="0" w:color="auto"/>
              <w:bottom w:val="single" w:sz="4" w:space="0" w:color="auto"/>
              <w:right w:val="single" w:sz="4" w:space="0" w:color="auto"/>
            </w:tcBorders>
            <w:noWrap/>
            <w:vAlign w:val="center"/>
            <w:hideMark/>
          </w:tcPr>
          <w:p w:rsidR="009F2E44" w:rsidRPr="009F2E44" w:rsidRDefault="009F2E44" w:rsidP="009F2E44">
            <w:pPr>
              <w:jc w:val="left"/>
              <w:cnfStyle w:val="100000000000" w:firstRow="1" w:lastRow="0" w:firstColumn="0" w:lastColumn="0" w:oddVBand="0" w:evenVBand="0" w:oddHBand="0" w:evenHBand="0" w:firstRowFirstColumn="0" w:firstRowLastColumn="0" w:lastRowFirstColumn="0" w:lastRowLastColumn="0"/>
            </w:pPr>
            <w:r w:rsidRPr="009F2E44">
              <w:t>Contrib%</w:t>
            </w:r>
          </w:p>
        </w:tc>
        <w:tc>
          <w:tcPr>
            <w:tcW w:w="1319" w:type="dxa"/>
            <w:tcBorders>
              <w:left w:val="single" w:sz="4" w:space="0" w:color="auto"/>
              <w:bottom w:val="single" w:sz="4" w:space="0" w:color="auto"/>
            </w:tcBorders>
            <w:noWrap/>
            <w:vAlign w:val="center"/>
            <w:hideMark/>
          </w:tcPr>
          <w:p w:rsidR="009F2E44" w:rsidRPr="009F2E44" w:rsidRDefault="009F2E44" w:rsidP="009F2E44">
            <w:pPr>
              <w:jc w:val="left"/>
              <w:cnfStyle w:val="100000000000" w:firstRow="1" w:lastRow="0" w:firstColumn="0" w:lastColumn="0" w:oddVBand="0" w:evenVBand="0" w:oddHBand="0" w:evenHBand="0" w:firstRowFirstColumn="0" w:firstRowLastColumn="0" w:lastRowFirstColumn="0" w:lastRowLastColumn="0"/>
            </w:pPr>
            <w:r w:rsidRPr="009F2E44">
              <w:t>Cum.%</w:t>
            </w:r>
          </w:p>
        </w:tc>
      </w:tr>
      <w:tr w:rsidR="009F2E44" w:rsidRPr="009F2E44" w:rsidTr="009619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bottom w:val="single" w:sz="4" w:space="0" w:color="auto"/>
            </w:tcBorders>
            <w:noWrap/>
            <w:vAlign w:val="center"/>
            <w:hideMark/>
          </w:tcPr>
          <w:p w:rsidR="009F2E44" w:rsidRPr="009F2E44" w:rsidRDefault="009F2E44" w:rsidP="009F2E44">
            <w:pPr>
              <w:jc w:val="left"/>
              <w:rPr>
                <w:b/>
                <w:bCs/>
                <w:i w:val="0"/>
              </w:rPr>
            </w:pPr>
            <w:r w:rsidRPr="009F2E44">
              <w:rPr>
                <w:b/>
                <w:bCs/>
                <w:i w:val="0"/>
              </w:rPr>
              <w:t>345</w:t>
            </w:r>
          </w:p>
        </w:tc>
        <w:tc>
          <w:tcPr>
            <w:tcW w:w="216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12.18</w:t>
            </w:r>
          </w:p>
        </w:tc>
        <w:tc>
          <w:tcPr>
            <w:tcW w:w="225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0.65</w:t>
            </w:r>
          </w:p>
        </w:tc>
        <w:tc>
          <w:tcPr>
            <w:tcW w:w="135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10.19</w:t>
            </w:r>
          </w:p>
        </w:tc>
        <w:tc>
          <w:tcPr>
            <w:tcW w:w="1319"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10.19</w:t>
            </w:r>
          </w:p>
        </w:tc>
      </w:tr>
      <w:tr w:rsidR="009F2E44" w:rsidRPr="009F2E44" w:rsidTr="009619B5">
        <w:trPr>
          <w:trHeight w:val="30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bottom w:val="single" w:sz="4" w:space="0" w:color="auto"/>
            </w:tcBorders>
            <w:noWrap/>
            <w:vAlign w:val="center"/>
            <w:hideMark/>
          </w:tcPr>
          <w:p w:rsidR="009F2E44" w:rsidRPr="009F2E44" w:rsidRDefault="009F2E44" w:rsidP="009F2E44">
            <w:pPr>
              <w:jc w:val="left"/>
              <w:rPr>
                <w:b/>
                <w:bCs/>
                <w:i w:val="0"/>
              </w:rPr>
            </w:pPr>
            <w:r w:rsidRPr="009F2E44">
              <w:rPr>
                <w:b/>
                <w:bCs/>
                <w:i w:val="0"/>
              </w:rPr>
              <w:t>313</w:t>
            </w:r>
          </w:p>
        </w:tc>
        <w:tc>
          <w:tcPr>
            <w:tcW w:w="2160"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24.38</w:t>
            </w:r>
          </w:p>
        </w:tc>
        <w:tc>
          <w:tcPr>
            <w:tcW w:w="2250"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24.75</w:t>
            </w:r>
          </w:p>
        </w:tc>
        <w:tc>
          <w:tcPr>
            <w:tcW w:w="1350"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9.87</w:t>
            </w:r>
          </w:p>
        </w:tc>
        <w:tc>
          <w:tcPr>
            <w:tcW w:w="1319"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20.06</w:t>
            </w:r>
          </w:p>
        </w:tc>
      </w:tr>
      <w:tr w:rsidR="009F2E44" w:rsidRPr="009F2E44" w:rsidTr="009619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bottom w:val="single" w:sz="4" w:space="0" w:color="auto"/>
            </w:tcBorders>
            <w:noWrap/>
            <w:vAlign w:val="center"/>
            <w:hideMark/>
          </w:tcPr>
          <w:p w:rsidR="009F2E44" w:rsidRPr="009F2E44" w:rsidRDefault="009F2E44" w:rsidP="009F2E44">
            <w:pPr>
              <w:jc w:val="left"/>
              <w:rPr>
                <w:b/>
                <w:bCs/>
                <w:i w:val="0"/>
              </w:rPr>
            </w:pPr>
            <w:r w:rsidRPr="009F2E44">
              <w:rPr>
                <w:b/>
                <w:bCs/>
                <w:i w:val="0"/>
              </w:rPr>
              <w:t>310</w:t>
            </w:r>
          </w:p>
        </w:tc>
        <w:tc>
          <w:tcPr>
            <w:tcW w:w="216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14.55</w:t>
            </w:r>
          </w:p>
        </w:tc>
        <w:tc>
          <w:tcPr>
            <w:tcW w:w="225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16.51</w:t>
            </w:r>
          </w:p>
        </w:tc>
        <w:tc>
          <w:tcPr>
            <w:tcW w:w="135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7.84</w:t>
            </w:r>
          </w:p>
        </w:tc>
        <w:tc>
          <w:tcPr>
            <w:tcW w:w="1319"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27.9</w:t>
            </w:r>
          </w:p>
        </w:tc>
      </w:tr>
      <w:tr w:rsidR="009F2E44" w:rsidRPr="009F2E44" w:rsidTr="009619B5">
        <w:trPr>
          <w:trHeight w:val="30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bottom w:val="single" w:sz="4" w:space="0" w:color="auto"/>
            </w:tcBorders>
            <w:noWrap/>
            <w:vAlign w:val="center"/>
            <w:hideMark/>
          </w:tcPr>
          <w:p w:rsidR="009F2E44" w:rsidRPr="009F2E44" w:rsidRDefault="009F2E44" w:rsidP="009F2E44">
            <w:pPr>
              <w:jc w:val="left"/>
              <w:rPr>
                <w:b/>
                <w:bCs/>
                <w:i w:val="0"/>
              </w:rPr>
            </w:pPr>
            <w:r w:rsidRPr="009F2E44">
              <w:rPr>
                <w:b/>
                <w:bCs/>
                <w:i w:val="0"/>
              </w:rPr>
              <w:t>341</w:t>
            </w:r>
          </w:p>
        </w:tc>
        <w:tc>
          <w:tcPr>
            <w:tcW w:w="2160"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3.39</w:t>
            </w:r>
          </w:p>
        </w:tc>
        <w:tc>
          <w:tcPr>
            <w:tcW w:w="2250"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4.31</w:t>
            </w:r>
          </w:p>
        </w:tc>
        <w:tc>
          <w:tcPr>
            <w:tcW w:w="1350"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6.47</w:t>
            </w:r>
          </w:p>
        </w:tc>
        <w:tc>
          <w:tcPr>
            <w:tcW w:w="1319"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34.37</w:t>
            </w:r>
          </w:p>
        </w:tc>
      </w:tr>
      <w:tr w:rsidR="009F2E44" w:rsidRPr="009F2E44" w:rsidTr="009619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bottom w:val="single" w:sz="4" w:space="0" w:color="auto"/>
            </w:tcBorders>
            <w:noWrap/>
            <w:vAlign w:val="center"/>
            <w:hideMark/>
          </w:tcPr>
          <w:p w:rsidR="009F2E44" w:rsidRPr="009F2E44" w:rsidRDefault="009F2E44" w:rsidP="009F2E44">
            <w:pPr>
              <w:jc w:val="left"/>
              <w:rPr>
                <w:b/>
                <w:bCs/>
                <w:i w:val="0"/>
              </w:rPr>
            </w:pPr>
            <w:r w:rsidRPr="009F2E44">
              <w:rPr>
                <w:b/>
                <w:bCs/>
                <w:i w:val="0"/>
              </w:rPr>
              <w:t>343</w:t>
            </w:r>
          </w:p>
        </w:tc>
        <w:tc>
          <w:tcPr>
            <w:tcW w:w="216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5.72</w:t>
            </w:r>
          </w:p>
        </w:tc>
        <w:tc>
          <w:tcPr>
            <w:tcW w:w="225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4.79</w:t>
            </w:r>
          </w:p>
        </w:tc>
        <w:tc>
          <w:tcPr>
            <w:tcW w:w="135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5.67</w:t>
            </w:r>
          </w:p>
        </w:tc>
        <w:tc>
          <w:tcPr>
            <w:tcW w:w="1319"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40.05</w:t>
            </w:r>
          </w:p>
        </w:tc>
      </w:tr>
      <w:tr w:rsidR="009F2E44" w:rsidRPr="009F2E44" w:rsidTr="009619B5">
        <w:trPr>
          <w:trHeight w:val="30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bottom w:val="single" w:sz="4" w:space="0" w:color="auto"/>
            </w:tcBorders>
            <w:noWrap/>
            <w:vAlign w:val="center"/>
            <w:hideMark/>
          </w:tcPr>
          <w:p w:rsidR="009F2E44" w:rsidRPr="009F2E44" w:rsidRDefault="009F2E44" w:rsidP="009F2E44">
            <w:pPr>
              <w:jc w:val="left"/>
              <w:rPr>
                <w:b/>
                <w:bCs/>
                <w:i w:val="0"/>
              </w:rPr>
            </w:pPr>
            <w:r w:rsidRPr="009F2E44">
              <w:rPr>
                <w:b/>
                <w:bCs/>
                <w:i w:val="0"/>
              </w:rPr>
              <w:t>342</w:t>
            </w:r>
          </w:p>
        </w:tc>
        <w:tc>
          <w:tcPr>
            <w:tcW w:w="2160"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3.7</w:t>
            </w:r>
          </w:p>
        </w:tc>
        <w:tc>
          <w:tcPr>
            <w:tcW w:w="2250"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1.7</w:t>
            </w:r>
          </w:p>
        </w:tc>
        <w:tc>
          <w:tcPr>
            <w:tcW w:w="1350"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5.27</w:t>
            </w:r>
          </w:p>
        </w:tc>
        <w:tc>
          <w:tcPr>
            <w:tcW w:w="1319"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45.32</w:t>
            </w:r>
          </w:p>
        </w:tc>
      </w:tr>
      <w:tr w:rsidR="009F2E44" w:rsidRPr="009F2E44" w:rsidTr="009619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bottom w:val="single" w:sz="4" w:space="0" w:color="auto"/>
            </w:tcBorders>
            <w:noWrap/>
            <w:vAlign w:val="center"/>
            <w:hideMark/>
          </w:tcPr>
          <w:p w:rsidR="009F2E44" w:rsidRPr="009F2E44" w:rsidRDefault="009F2E44" w:rsidP="009F2E44">
            <w:pPr>
              <w:jc w:val="left"/>
              <w:rPr>
                <w:b/>
                <w:bCs/>
                <w:i w:val="0"/>
              </w:rPr>
            </w:pPr>
            <w:r w:rsidRPr="009F2E44">
              <w:rPr>
                <w:b/>
                <w:bCs/>
                <w:i w:val="0"/>
              </w:rPr>
              <w:t>309</w:t>
            </w:r>
          </w:p>
        </w:tc>
        <w:tc>
          <w:tcPr>
            <w:tcW w:w="216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2.66</w:t>
            </w:r>
          </w:p>
        </w:tc>
        <w:tc>
          <w:tcPr>
            <w:tcW w:w="225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5.63</w:t>
            </w:r>
          </w:p>
        </w:tc>
        <w:tc>
          <w:tcPr>
            <w:tcW w:w="135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5.03</w:t>
            </w:r>
          </w:p>
        </w:tc>
        <w:tc>
          <w:tcPr>
            <w:tcW w:w="1319"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50.34</w:t>
            </w:r>
          </w:p>
        </w:tc>
      </w:tr>
      <w:tr w:rsidR="009F2E44" w:rsidRPr="009F2E44" w:rsidTr="009619B5">
        <w:trPr>
          <w:trHeight w:val="30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bottom w:val="single" w:sz="4" w:space="0" w:color="auto"/>
            </w:tcBorders>
            <w:noWrap/>
            <w:vAlign w:val="center"/>
            <w:hideMark/>
          </w:tcPr>
          <w:p w:rsidR="009F2E44" w:rsidRPr="009F2E44" w:rsidRDefault="009F2E44" w:rsidP="009F2E44">
            <w:pPr>
              <w:jc w:val="left"/>
              <w:rPr>
                <w:b/>
                <w:bCs/>
                <w:i w:val="0"/>
              </w:rPr>
            </w:pPr>
            <w:r w:rsidRPr="009F2E44">
              <w:rPr>
                <w:b/>
                <w:bCs/>
                <w:i w:val="0"/>
              </w:rPr>
              <w:t>312</w:t>
            </w:r>
          </w:p>
        </w:tc>
        <w:tc>
          <w:tcPr>
            <w:tcW w:w="2160"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2.81</w:t>
            </w:r>
          </w:p>
        </w:tc>
        <w:tc>
          <w:tcPr>
            <w:tcW w:w="2250"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4.93</w:t>
            </w:r>
          </w:p>
        </w:tc>
        <w:tc>
          <w:tcPr>
            <w:tcW w:w="1350"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4.88</w:t>
            </w:r>
          </w:p>
        </w:tc>
        <w:tc>
          <w:tcPr>
            <w:tcW w:w="1319"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55.23</w:t>
            </w:r>
          </w:p>
        </w:tc>
      </w:tr>
      <w:tr w:rsidR="009F2E44" w:rsidRPr="009F2E44" w:rsidTr="009619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bottom w:val="single" w:sz="4" w:space="0" w:color="auto"/>
            </w:tcBorders>
            <w:noWrap/>
            <w:vAlign w:val="center"/>
            <w:hideMark/>
          </w:tcPr>
          <w:p w:rsidR="009F2E44" w:rsidRPr="009F2E44" w:rsidRDefault="009F2E44" w:rsidP="009F2E44">
            <w:pPr>
              <w:jc w:val="left"/>
              <w:rPr>
                <w:b/>
                <w:bCs/>
                <w:i w:val="0"/>
              </w:rPr>
            </w:pPr>
            <w:r w:rsidRPr="009F2E44">
              <w:rPr>
                <w:b/>
                <w:bCs/>
                <w:i w:val="0"/>
              </w:rPr>
              <w:t>344</w:t>
            </w:r>
          </w:p>
        </w:tc>
        <w:tc>
          <w:tcPr>
            <w:tcW w:w="216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1.69</w:t>
            </w:r>
          </w:p>
        </w:tc>
        <w:tc>
          <w:tcPr>
            <w:tcW w:w="225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4.57</w:t>
            </w:r>
          </w:p>
        </w:tc>
        <w:tc>
          <w:tcPr>
            <w:tcW w:w="135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4.56</w:t>
            </w:r>
          </w:p>
        </w:tc>
        <w:tc>
          <w:tcPr>
            <w:tcW w:w="1319"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59.79</w:t>
            </w:r>
          </w:p>
        </w:tc>
      </w:tr>
      <w:tr w:rsidR="009F2E44" w:rsidRPr="009F2E44" w:rsidTr="009619B5">
        <w:trPr>
          <w:trHeight w:val="30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bottom w:val="single" w:sz="4" w:space="0" w:color="auto"/>
            </w:tcBorders>
            <w:noWrap/>
            <w:vAlign w:val="center"/>
            <w:hideMark/>
          </w:tcPr>
          <w:p w:rsidR="009F2E44" w:rsidRPr="009F2E44" w:rsidRDefault="009F2E44" w:rsidP="009F2E44">
            <w:pPr>
              <w:jc w:val="left"/>
              <w:rPr>
                <w:b/>
                <w:bCs/>
                <w:i w:val="0"/>
              </w:rPr>
            </w:pPr>
            <w:r w:rsidRPr="009F2E44">
              <w:rPr>
                <w:b/>
                <w:bCs/>
                <w:i w:val="0"/>
              </w:rPr>
              <w:t>350</w:t>
            </w:r>
          </w:p>
        </w:tc>
        <w:tc>
          <w:tcPr>
            <w:tcW w:w="2160"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2.49</w:t>
            </w:r>
          </w:p>
        </w:tc>
        <w:tc>
          <w:tcPr>
            <w:tcW w:w="2250"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4.97</w:t>
            </w:r>
          </w:p>
        </w:tc>
        <w:tc>
          <w:tcPr>
            <w:tcW w:w="1350"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4.51</w:t>
            </w:r>
          </w:p>
        </w:tc>
        <w:tc>
          <w:tcPr>
            <w:tcW w:w="1319"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64.3</w:t>
            </w:r>
          </w:p>
        </w:tc>
      </w:tr>
      <w:tr w:rsidR="009F2E44" w:rsidRPr="009F2E44" w:rsidTr="009619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bottom w:val="single" w:sz="4" w:space="0" w:color="auto"/>
            </w:tcBorders>
            <w:noWrap/>
            <w:vAlign w:val="center"/>
            <w:hideMark/>
          </w:tcPr>
          <w:p w:rsidR="009F2E44" w:rsidRPr="009F2E44" w:rsidRDefault="009F2E44" w:rsidP="009F2E44">
            <w:pPr>
              <w:jc w:val="left"/>
              <w:rPr>
                <w:b/>
                <w:bCs/>
                <w:i w:val="0"/>
              </w:rPr>
            </w:pPr>
            <w:r w:rsidRPr="009F2E44">
              <w:rPr>
                <w:b/>
                <w:bCs/>
                <w:i w:val="0"/>
              </w:rPr>
              <w:t>358</w:t>
            </w:r>
          </w:p>
        </w:tc>
        <w:tc>
          <w:tcPr>
            <w:tcW w:w="216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1.11</w:t>
            </w:r>
          </w:p>
        </w:tc>
        <w:tc>
          <w:tcPr>
            <w:tcW w:w="225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2.53</w:t>
            </w:r>
          </w:p>
        </w:tc>
        <w:tc>
          <w:tcPr>
            <w:tcW w:w="135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3.35</w:t>
            </w:r>
          </w:p>
        </w:tc>
        <w:tc>
          <w:tcPr>
            <w:tcW w:w="1319"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67.65</w:t>
            </w:r>
          </w:p>
        </w:tc>
      </w:tr>
      <w:tr w:rsidR="009F2E44" w:rsidRPr="009F2E44" w:rsidTr="009619B5">
        <w:trPr>
          <w:trHeight w:val="30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bottom w:val="single" w:sz="4" w:space="0" w:color="auto"/>
            </w:tcBorders>
            <w:noWrap/>
            <w:vAlign w:val="center"/>
            <w:hideMark/>
          </w:tcPr>
          <w:p w:rsidR="009F2E44" w:rsidRPr="009F2E44" w:rsidRDefault="009F2E44" w:rsidP="009F2E44">
            <w:pPr>
              <w:jc w:val="left"/>
              <w:rPr>
                <w:b/>
                <w:bCs/>
                <w:i w:val="0"/>
              </w:rPr>
            </w:pPr>
            <w:r w:rsidRPr="009F2E44">
              <w:rPr>
                <w:b/>
                <w:bCs/>
                <w:i w:val="0"/>
              </w:rPr>
              <w:t>324</w:t>
            </w:r>
          </w:p>
        </w:tc>
        <w:tc>
          <w:tcPr>
            <w:tcW w:w="2160"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1.33</w:t>
            </w:r>
          </w:p>
        </w:tc>
        <w:tc>
          <w:tcPr>
            <w:tcW w:w="2250"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4.29</w:t>
            </w:r>
          </w:p>
        </w:tc>
        <w:tc>
          <w:tcPr>
            <w:tcW w:w="1350"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3.35</w:t>
            </w:r>
          </w:p>
        </w:tc>
        <w:tc>
          <w:tcPr>
            <w:tcW w:w="1319"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70.99</w:t>
            </w:r>
          </w:p>
        </w:tc>
      </w:tr>
      <w:tr w:rsidR="009F2E44" w:rsidRPr="009F2E44" w:rsidTr="009619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bottom w:val="single" w:sz="4" w:space="0" w:color="auto"/>
            </w:tcBorders>
            <w:noWrap/>
            <w:vAlign w:val="center"/>
            <w:hideMark/>
          </w:tcPr>
          <w:p w:rsidR="009F2E44" w:rsidRPr="009F2E44" w:rsidRDefault="009F2E44" w:rsidP="009F2E44">
            <w:pPr>
              <w:jc w:val="left"/>
              <w:rPr>
                <w:b/>
                <w:bCs/>
                <w:i w:val="0"/>
              </w:rPr>
            </w:pPr>
            <w:r w:rsidRPr="009F2E44">
              <w:rPr>
                <w:b/>
                <w:bCs/>
                <w:i w:val="0"/>
              </w:rPr>
              <w:t>357</w:t>
            </w:r>
          </w:p>
        </w:tc>
        <w:tc>
          <w:tcPr>
            <w:tcW w:w="216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0.3</w:t>
            </w:r>
          </w:p>
        </w:tc>
        <w:tc>
          <w:tcPr>
            <w:tcW w:w="225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3.57</w:t>
            </w:r>
          </w:p>
        </w:tc>
        <w:tc>
          <w:tcPr>
            <w:tcW w:w="135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3.33</w:t>
            </w:r>
          </w:p>
        </w:tc>
        <w:tc>
          <w:tcPr>
            <w:tcW w:w="1319"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74.33</w:t>
            </w:r>
          </w:p>
        </w:tc>
      </w:tr>
      <w:tr w:rsidR="009F2E44" w:rsidRPr="009F2E44" w:rsidTr="009619B5">
        <w:trPr>
          <w:trHeight w:val="30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bottom w:val="single" w:sz="4" w:space="0" w:color="auto"/>
            </w:tcBorders>
            <w:noWrap/>
            <w:vAlign w:val="center"/>
            <w:hideMark/>
          </w:tcPr>
          <w:p w:rsidR="009F2E44" w:rsidRPr="009F2E44" w:rsidRDefault="009F2E44" w:rsidP="009F2E44">
            <w:pPr>
              <w:jc w:val="left"/>
              <w:rPr>
                <w:b/>
                <w:bCs/>
                <w:i w:val="0"/>
              </w:rPr>
            </w:pPr>
            <w:r w:rsidRPr="009F2E44">
              <w:rPr>
                <w:b/>
                <w:bCs/>
                <w:i w:val="0"/>
              </w:rPr>
              <w:t>355</w:t>
            </w:r>
          </w:p>
        </w:tc>
        <w:tc>
          <w:tcPr>
            <w:tcW w:w="2160"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0.54</w:t>
            </w:r>
          </w:p>
        </w:tc>
        <w:tc>
          <w:tcPr>
            <w:tcW w:w="2250"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2.25</w:t>
            </w:r>
          </w:p>
        </w:tc>
        <w:tc>
          <w:tcPr>
            <w:tcW w:w="1350"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2.74</w:t>
            </w:r>
          </w:p>
        </w:tc>
        <w:tc>
          <w:tcPr>
            <w:tcW w:w="1319"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77.07</w:t>
            </w:r>
          </w:p>
        </w:tc>
      </w:tr>
      <w:tr w:rsidR="009F2E44" w:rsidRPr="009F2E44" w:rsidTr="009619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bottom w:val="single" w:sz="4" w:space="0" w:color="auto"/>
            </w:tcBorders>
            <w:noWrap/>
            <w:vAlign w:val="center"/>
            <w:hideMark/>
          </w:tcPr>
          <w:p w:rsidR="009F2E44" w:rsidRPr="009F2E44" w:rsidRDefault="009F2E44" w:rsidP="009F2E44">
            <w:pPr>
              <w:jc w:val="left"/>
              <w:rPr>
                <w:b/>
                <w:bCs/>
                <w:i w:val="0"/>
              </w:rPr>
            </w:pPr>
            <w:r w:rsidRPr="009F2E44">
              <w:rPr>
                <w:b/>
                <w:bCs/>
                <w:i w:val="0"/>
              </w:rPr>
              <w:t>335</w:t>
            </w:r>
          </w:p>
        </w:tc>
        <w:tc>
          <w:tcPr>
            <w:tcW w:w="216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5.24</w:t>
            </w:r>
          </w:p>
        </w:tc>
        <w:tc>
          <w:tcPr>
            <w:tcW w:w="225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2.92</w:t>
            </w:r>
          </w:p>
        </w:tc>
        <w:tc>
          <w:tcPr>
            <w:tcW w:w="135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2.57</w:t>
            </w:r>
          </w:p>
        </w:tc>
        <w:tc>
          <w:tcPr>
            <w:tcW w:w="1319"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79.64</w:t>
            </w:r>
          </w:p>
        </w:tc>
      </w:tr>
      <w:tr w:rsidR="009F2E44" w:rsidRPr="009F2E44" w:rsidTr="009619B5">
        <w:trPr>
          <w:trHeight w:val="30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bottom w:val="single" w:sz="4" w:space="0" w:color="auto"/>
            </w:tcBorders>
            <w:noWrap/>
            <w:vAlign w:val="center"/>
            <w:hideMark/>
          </w:tcPr>
          <w:p w:rsidR="009F2E44" w:rsidRPr="009F2E44" w:rsidRDefault="009F2E44" w:rsidP="009F2E44">
            <w:pPr>
              <w:jc w:val="left"/>
              <w:rPr>
                <w:b/>
                <w:bCs/>
                <w:i w:val="0"/>
              </w:rPr>
            </w:pPr>
            <w:r w:rsidRPr="009F2E44">
              <w:rPr>
                <w:b/>
                <w:bCs/>
                <w:i w:val="0"/>
              </w:rPr>
              <w:t>338</w:t>
            </w:r>
          </w:p>
        </w:tc>
        <w:tc>
          <w:tcPr>
            <w:tcW w:w="2160"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3.04</w:t>
            </w:r>
          </w:p>
        </w:tc>
        <w:tc>
          <w:tcPr>
            <w:tcW w:w="2250"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0.71</w:t>
            </w:r>
          </w:p>
        </w:tc>
        <w:tc>
          <w:tcPr>
            <w:tcW w:w="1350"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2.52</w:t>
            </w:r>
          </w:p>
        </w:tc>
        <w:tc>
          <w:tcPr>
            <w:tcW w:w="1319"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82.16</w:t>
            </w:r>
          </w:p>
        </w:tc>
      </w:tr>
      <w:tr w:rsidR="009F2E44" w:rsidRPr="009F2E44" w:rsidTr="009619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bottom w:val="single" w:sz="4" w:space="0" w:color="auto"/>
            </w:tcBorders>
            <w:noWrap/>
            <w:vAlign w:val="center"/>
            <w:hideMark/>
          </w:tcPr>
          <w:p w:rsidR="009F2E44" w:rsidRPr="009F2E44" w:rsidRDefault="009F2E44" w:rsidP="009F2E44">
            <w:pPr>
              <w:jc w:val="left"/>
              <w:rPr>
                <w:b/>
                <w:bCs/>
                <w:i w:val="0"/>
              </w:rPr>
            </w:pPr>
            <w:r w:rsidRPr="009F2E44">
              <w:rPr>
                <w:b/>
                <w:bCs/>
                <w:i w:val="0"/>
              </w:rPr>
              <w:t>354</w:t>
            </w:r>
          </w:p>
        </w:tc>
        <w:tc>
          <w:tcPr>
            <w:tcW w:w="216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2.73</w:t>
            </w:r>
          </w:p>
        </w:tc>
        <w:tc>
          <w:tcPr>
            <w:tcW w:w="225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0.1</w:t>
            </w:r>
          </w:p>
        </w:tc>
        <w:tc>
          <w:tcPr>
            <w:tcW w:w="135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2.27</w:t>
            </w:r>
          </w:p>
        </w:tc>
        <w:tc>
          <w:tcPr>
            <w:tcW w:w="1319"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84.43</w:t>
            </w:r>
          </w:p>
        </w:tc>
      </w:tr>
      <w:tr w:rsidR="009F2E44" w:rsidRPr="009F2E44" w:rsidTr="009619B5">
        <w:trPr>
          <w:trHeight w:val="30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bottom w:val="single" w:sz="4" w:space="0" w:color="auto"/>
            </w:tcBorders>
            <w:noWrap/>
            <w:vAlign w:val="center"/>
            <w:hideMark/>
          </w:tcPr>
          <w:p w:rsidR="009F2E44" w:rsidRPr="009F2E44" w:rsidRDefault="009F2E44" w:rsidP="009F2E44">
            <w:pPr>
              <w:jc w:val="left"/>
              <w:rPr>
                <w:b/>
                <w:bCs/>
                <w:i w:val="0"/>
              </w:rPr>
            </w:pPr>
            <w:r w:rsidRPr="009F2E44">
              <w:rPr>
                <w:b/>
                <w:bCs/>
                <w:i w:val="0"/>
              </w:rPr>
              <w:t>336</w:t>
            </w:r>
          </w:p>
        </w:tc>
        <w:tc>
          <w:tcPr>
            <w:tcW w:w="2160"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2.43</w:t>
            </w:r>
          </w:p>
        </w:tc>
        <w:tc>
          <w:tcPr>
            <w:tcW w:w="2250"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0.66</w:t>
            </w:r>
          </w:p>
        </w:tc>
        <w:tc>
          <w:tcPr>
            <w:tcW w:w="1350"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2.21</w:t>
            </w:r>
          </w:p>
        </w:tc>
        <w:tc>
          <w:tcPr>
            <w:tcW w:w="1319" w:type="dxa"/>
            <w:tcBorders>
              <w:top w:val="single" w:sz="4" w:space="0" w:color="auto"/>
              <w:bottom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86.64</w:t>
            </w:r>
          </w:p>
        </w:tc>
      </w:tr>
      <w:tr w:rsidR="009F2E44" w:rsidRPr="009F2E44" w:rsidTr="009619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bottom w:val="single" w:sz="4" w:space="0" w:color="auto"/>
            </w:tcBorders>
            <w:noWrap/>
            <w:vAlign w:val="center"/>
            <w:hideMark/>
          </w:tcPr>
          <w:p w:rsidR="009F2E44" w:rsidRPr="009F2E44" w:rsidRDefault="009F2E44" w:rsidP="009F2E44">
            <w:pPr>
              <w:jc w:val="left"/>
              <w:rPr>
                <w:b/>
                <w:bCs/>
                <w:i w:val="0"/>
              </w:rPr>
            </w:pPr>
            <w:r w:rsidRPr="009F2E44">
              <w:rPr>
                <w:b/>
                <w:bCs/>
                <w:i w:val="0"/>
              </w:rPr>
              <w:t>339</w:t>
            </w:r>
          </w:p>
        </w:tc>
        <w:tc>
          <w:tcPr>
            <w:tcW w:w="216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2.23</w:t>
            </w:r>
          </w:p>
        </w:tc>
        <w:tc>
          <w:tcPr>
            <w:tcW w:w="225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1.64</w:t>
            </w:r>
          </w:p>
        </w:tc>
        <w:tc>
          <w:tcPr>
            <w:tcW w:w="1350"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1.88</w:t>
            </w:r>
          </w:p>
        </w:tc>
        <w:tc>
          <w:tcPr>
            <w:tcW w:w="1319" w:type="dxa"/>
            <w:tcBorders>
              <w:top w:val="single" w:sz="4" w:space="0" w:color="auto"/>
              <w:bottom w:val="single" w:sz="4" w:space="0" w:color="auto"/>
            </w:tcBorders>
            <w:noWrap/>
            <w:vAlign w:val="center"/>
            <w:hideMark/>
          </w:tcPr>
          <w:p w:rsidR="009F2E44" w:rsidRPr="009F2E44" w:rsidRDefault="009F2E44" w:rsidP="009F2E44">
            <w:pPr>
              <w:jc w:val="left"/>
              <w:cnfStyle w:val="000000100000" w:firstRow="0" w:lastRow="0" w:firstColumn="0" w:lastColumn="0" w:oddVBand="0" w:evenVBand="0" w:oddHBand="1" w:evenHBand="0" w:firstRowFirstColumn="0" w:firstRowLastColumn="0" w:lastRowFirstColumn="0" w:lastRowLastColumn="0"/>
              <w:rPr>
                <w:bCs/>
              </w:rPr>
            </w:pPr>
            <w:r w:rsidRPr="009F2E44">
              <w:rPr>
                <w:bCs/>
              </w:rPr>
              <w:t>88.52</w:t>
            </w:r>
          </w:p>
        </w:tc>
      </w:tr>
      <w:tr w:rsidR="009F2E44" w:rsidRPr="009F2E44" w:rsidTr="009619B5">
        <w:trPr>
          <w:trHeight w:val="30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tcBorders>
            <w:noWrap/>
            <w:vAlign w:val="center"/>
            <w:hideMark/>
          </w:tcPr>
          <w:p w:rsidR="009F2E44" w:rsidRPr="009F2E44" w:rsidRDefault="009F2E44" w:rsidP="009F2E44">
            <w:pPr>
              <w:jc w:val="left"/>
              <w:rPr>
                <w:b/>
                <w:bCs/>
                <w:i w:val="0"/>
              </w:rPr>
            </w:pPr>
            <w:r w:rsidRPr="009F2E44">
              <w:rPr>
                <w:b/>
                <w:bCs/>
                <w:i w:val="0"/>
              </w:rPr>
              <w:t>322</w:t>
            </w:r>
          </w:p>
        </w:tc>
        <w:tc>
          <w:tcPr>
            <w:tcW w:w="2160" w:type="dxa"/>
            <w:tcBorders>
              <w:top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1.26</w:t>
            </w:r>
          </w:p>
        </w:tc>
        <w:tc>
          <w:tcPr>
            <w:tcW w:w="2250" w:type="dxa"/>
            <w:tcBorders>
              <w:top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2.63</w:t>
            </w:r>
          </w:p>
        </w:tc>
        <w:tc>
          <w:tcPr>
            <w:tcW w:w="1350" w:type="dxa"/>
            <w:tcBorders>
              <w:top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1.78</w:t>
            </w:r>
          </w:p>
        </w:tc>
        <w:tc>
          <w:tcPr>
            <w:tcW w:w="1319" w:type="dxa"/>
            <w:tcBorders>
              <w:top w:val="single" w:sz="4" w:space="0" w:color="auto"/>
            </w:tcBorders>
            <w:noWrap/>
            <w:vAlign w:val="center"/>
            <w:hideMark/>
          </w:tcPr>
          <w:p w:rsidR="009F2E44" w:rsidRPr="009F2E44" w:rsidRDefault="009F2E44" w:rsidP="009F2E44">
            <w:pPr>
              <w:jc w:val="left"/>
              <w:cnfStyle w:val="000000000000" w:firstRow="0" w:lastRow="0" w:firstColumn="0" w:lastColumn="0" w:oddVBand="0" w:evenVBand="0" w:oddHBand="0" w:evenHBand="0" w:firstRowFirstColumn="0" w:firstRowLastColumn="0" w:lastRowFirstColumn="0" w:lastRowLastColumn="0"/>
              <w:rPr>
                <w:bCs/>
              </w:rPr>
            </w:pPr>
            <w:r w:rsidRPr="009F2E44">
              <w:rPr>
                <w:bCs/>
              </w:rPr>
              <w:t>90.29</w:t>
            </w:r>
          </w:p>
        </w:tc>
      </w:tr>
    </w:tbl>
    <w:p w:rsidR="0086642F" w:rsidRPr="0086642F" w:rsidRDefault="0086642F" w:rsidP="0086642F">
      <w:pPr>
        <w:jc w:val="left"/>
        <w:rPr>
          <w:bCs/>
        </w:rPr>
      </w:pPr>
      <w:r w:rsidRPr="00FE7244">
        <w:rPr>
          <w:bCs/>
        </w:rPr>
        <w:t xml:space="preserve"> </w:t>
      </w:r>
      <w:r w:rsidRPr="0086642F">
        <w:rPr>
          <w:bCs/>
        </w:rPr>
        <w:t>Av. Abund. = average abundance, Av. Diss. = average dissimilarity, Diss/SD = dissimilarity standard deviation, Contrib % = percent contribution, Cum. %, cumulative percent</w:t>
      </w:r>
    </w:p>
    <w:p w:rsidR="00AE2076" w:rsidRPr="0027088D" w:rsidRDefault="00AE2076" w:rsidP="00963E02">
      <w:pPr>
        <w:ind w:firstLine="720"/>
        <w:jc w:val="left"/>
        <w:rPr>
          <w:bCs/>
        </w:rPr>
      </w:pPr>
    </w:p>
    <w:p w:rsidR="00671DBE" w:rsidRDefault="00A375C9" w:rsidP="00963E02">
      <w:pPr>
        <w:jc w:val="left"/>
        <w:rPr>
          <w:noProof/>
        </w:rPr>
      </w:pPr>
      <w:r w:rsidRPr="0027088D">
        <w:rPr>
          <w:b/>
          <w:bCs/>
        </w:rPr>
        <w:t>I</w:t>
      </w:r>
      <w:r w:rsidR="00583930" w:rsidRPr="0027088D">
        <w:rPr>
          <w:b/>
          <w:bCs/>
        </w:rPr>
        <w:t>nfluence</w:t>
      </w:r>
      <w:r w:rsidRPr="0027088D">
        <w:rPr>
          <w:b/>
          <w:bCs/>
        </w:rPr>
        <w:t xml:space="preserve"> of location</w:t>
      </w:r>
      <w:r w:rsidR="00583930" w:rsidRPr="0027088D">
        <w:rPr>
          <w:b/>
          <w:bCs/>
        </w:rPr>
        <w:t xml:space="preserve"> on </w:t>
      </w:r>
      <w:r w:rsidRPr="0027088D">
        <w:rPr>
          <w:b/>
          <w:bCs/>
        </w:rPr>
        <w:t xml:space="preserve">SML community composition. </w:t>
      </w:r>
      <w:r w:rsidRPr="0027088D">
        <w:rPr>
          <w:bCs/>
        </w:rPr>
        <w:t>For each discharge level, MDS plots were created on the square-root transformed, Bray-Curtis similarity matrices. The position of the points representing SML communities exposed to low discharge water did n</w:t>
      </w:r>
      <w:r w:rsidR="00FE7244">
        <w:rPr>
          <w:bCs/>
        </w:rPr>
        <w:t xml:space="preserve">ot cluster by location. In </w:t>
      </w:r>
      <w:r w:rsidRPr="0027088D">
        <w:rPr>
          <w:bCs/>
        </w:rPr>
        <w:t>the planar MDS plot, the points from each location are relatively</w:t>
      </w:r>
      <w:r w:rsidR="00D56F06" w:rsidRPr="0027088D">
        <w:rPr>
          <w:bCs/>
        </w:rPr>
        <w:t xml:space="preserve"> evenly distributed (</w:t>
      </w:r>
      <w:r w:rsidR="00D56F06" w:rsidRPr="0027088D">
        <w:rPr>
          <w:b/>
          <w:bCs/>
        </w:rPr>
        <w:t>Figure 4</w:t>
      </w:r>
      <w:r w:rsidR="006D111F">
        <w:rPr>
          <w:b/>
          <w:bCs/>
        </w:rPr>
        <w:t>A</w:t>
      </w:r>
      <w:r w:rsidR="00D56F06" w:rsidRPr="0027088D">
        <w:rPr>
          <w:bCs/>
        </w:rPr>
        <w:t>).</w:t>
      </w:r>
      <w:r w:rsidR="006D111F">
        <w:rPr>
          <w:bCs/>
        </w:rPr>
        <w:t xml:space="preserve"> The output of a one-way ANOSIM indicates</w:t>
      </w:r>
      <w:r w:rsidR="006D111F" w:rsidRPr="006D111F">
        <w:rPr>
          <w:bCs/>
        </w:rPr>
        <w:t xml:space="preserve"> location does not significantly influence the composition of SML communities in coral colonies exposed to low discharge water (p=0.304, R=0.032). Similarly, the composition of communities from coral colonies exposed to high levels of discharge water does not appear to substantially differ between locations. Aside from colony 21, the composition of the SML communities from all of the other colonies appear intermixed in both MDS plots (</w:t>
      </w:r>
      <w:r w:rsidR="006D111F" w:rsidRPr="006D111F">
        <w:rPr>
          <w:b/>
          <w:bCs/>
        </w:rPr>
        <w:t xml:space="preserve">Figure </w:t>
      </w:r>
      <w:r w:rsidR="006D111F">
        <w:rPr>
          <w:b/>
          <w:bCs/>
        </w:rPr>
        <w:t>4</w:t>
      </w:r>
      <w:r w:rsidR="005D434C">
        <w:rPr>
          <w:b/>
          <w:bCs/>
        </w:rPr>
        <w:t>C</w:t>
      </w:r>
      <w:r w:rsidR="006D111F" w:rsidRPr="006D111F">
        <w:rPr>
          <w:bCs/>
        </w:rPr>
        <w:t xml:space="preserve">). The p-value of ANOSIM output suggests that the compositions are significantly different between locations, but the relatively low R value, along with the point distribution on the MDS plots, does not invite strong interpretation of this result (p=0.016, R=0.316). </w:t>
      </w:r>
    </w:p>
    <w:p w:rsidR="009F2E44" w:rsidRDefault="00671DBE" w:rsidP="00963E02">
      <w:pPr>
        <w:jc w:val="left"/>
        <w:rPr>
          <w:b/>
          <w:bCs/>
          <w:noProof/>
        </w:rPr>
      </w:pPr>
      <w:r>
        <w:rPr>
          <w:b/>
          <w:bCs/>
          <w:noProof/>
        </w:rPr>
        <w:drawing>
          <wp:inline distT="0" distB="0" distL="0" distR="0">
            <wp:extent cx="5943600"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nar mds one way low discharge transf without labels.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2330450"/>
                    </a:xfrm>
                    <a:prstGeom prst="rect">
                      <a:avLst/>
                    </a:prstGeom>
                  </pic:spPr>
                </pic:pic>
              </a:graphicData>
            </a:graphic>
          </wp:inline>
        </w:drawing>
      </w:r>
      <w:r w:rsidR="00D56F06" w:rsidRPr="0027088D">
        <w:rPr>
          <w:b/>
          <w:bCs/>
          <w:noProof/>
        </w:rPr>
        <w:t xml:space="preserve"> </w:t>
      </w:r>
    </w:p>
    <w:p w:rsidR="009F2E44" w:rsidRDefault="009F2E44" w:rsidP="00963E02">
      <w:pPr>
        <w:jc w:val="left"/>
        <w:rPr>
          <w:b/>
          <w:bCs/>
          <w:noProof/>
        </w:rPr>
      </w:pPr>
    </w:p>
    <w:p w:rsidR="00A65E84" w:rsidRDefault="00671DBE" w:rsidP="00963E02">
      <w:pPr>
        <w:jc w:val="left"/>
        <w:rPr>
          <w:b/>
          <w:bCs/>
          <w:noProof/>
        </w:rPr>
      </w:pPr>
      <w:r>
        <w:rPr>
          <w:b/>
          <w:bCs/>
          <w:noProof/>
        </w:rPr>
        <w:drawing>
          <wp:inline distT="0" distB="0" distL="0" distR="0">
            <wp:extent cx="5943600"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igh discharge location without labels.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2330450"/>
                    </a:xfrm>
                    <a:prstGeom prst="rect">
                      <a:avLst/>
                    </a:prstGeom>
                  </pic:spPr>
                </pic:pic>
              </a:graphicData>
            </a:graphic>
          </wp:inline>
        </w:drawing>
      </w:r>
    </w:p>
    <w:p w:rsidR="00671DBE" w:rsidRDefault="00671DBE" w:rsidP="00671DBE">
      <w:pPr>
        <w:keepNext/>
        <w:jc w:val="left"/>
      </w:pPr>
      <w:r>
        <w:rPr>
          <w:b/>
          <w:bCs/>
          <w:noProof/>
        </w:rPr>
        <w:lastRenderedPageBreak/>
        <w:drawing>
          <wp:inline distT="0" distB="0" distL="0" distR="0" wp14:anchorId="47C2C0EA" wp14:editId="156FB650">
            <wp:extent cx="5943600" cy="2330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igh discharge location zoomed in.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2330450"/>
                    </a:xfrm>
                    <a:prstGeom prst="rect">
                      <a:avLst/>
                    </a:prstGeom>
                  </pic:spPr>
                </pic:pic>
              </a:graphicData>
            </a:graphic>
          </wp:inline>
        </w:drawing>
      </w:r>
    </w:p>
    <w:p w:rsidR="00671DBE" w:rsidRPr="00DA0C35" w:rsidRDefault="00671DBE" w:rsidP="00671DBE">
      <w:pPr>
        <w:pStyle w:val="Caption"/>
        <w:jc w:val="left"/>
        <w:rPr>
          <w:bCs/>
          <w:i w:val="0"/>
          <w:color w:val="auto"/>
          <w:sz w:val="22"/>
          <w:szCs w:val="22"/>
        </w:rPr>
      </w:pPr>
      <w:r w:rsidRPr="00DA0C35">
        <w:rPr>
          <w:b/>
          <w:i w:val="0"/>
          <w:color w:val="auto"/>
          <w:sz w:val="22"/>
          <w:szCs w:val="22"/>
        </w:rPr>
        <w:t xml:space="preserve">Figure </w:t>
      </w:r>
      <w:r w:rsidRPr="00DA0C35">
        <w:rPr>
          <w:b/>
          <w:i w:val="0"/>
          <w:color w:val="auto"/>
          <w:sz w:val="22"/>
          <w:szCs w:val="22"/>
        </w:rPr>
        <w:fldChar w:fldCharType="begin"/>
      </w:r>
      <w:r w:rsidRPr="00DA0C35">
        <w:rPr>
          <w:b/>
          <w:i w:val="0"/>
          <w:color w:val="auto"/>
          <w:sz w:val="22"/>
          <w:szCs w:val="22"/>
        </w:rPr>
        <w:instrText xml:space="preserve"> SEQ Figure \* ARABIC </w:instrText>
      </w:r>
      <w:r w:rsidRPr="00DA0C35">
        <w:rPr>
          <w:b/>
          <w:i w:val="0"/>
          <w:color w:val="auto"/>
          <w:sz w:val="22"/>
          <w:szCs w:val="22"/>
        </w:rPr>
        <w:fldChar w:fldCharType="separate"/>
      </w:r>
      <w:r w:rsidR="001C17A4">
        <w:rPr>
          <w:b/>
          <w:i w:val="0"/>
          <w:noProof/>
          <w:color w:val="auto"/>
          <w:sz w:val="22"/>
          <w:szCs w:val="22"/>
        </w:rPr>
        <w:t>5</w:t>
      </w:r>
      <w:r w:rsidRPr="00DA0C35">
        <w:rPr>
          <w:b/>
          <w:i w:val="0"/>
          <w:color w:val="auto"/>
          <w:sz w:val="22"/>
          <w:szCs w:val="22"/>
        </w:rPr>
        <w:fldChar w:fldCharType="end"/>
      </w:r>
      <w:r w:rsidRPr="00DA0C35">
        <w:rPr>
          <w:i w:val="0"/>
          <w:color w:val="auto"/>
          <w:sz w:val="22"/>
          <w:szCs w:val="22"/>
        </w:rPr>
        <w:t xml:space="preserve"> Planar MDS plots of the standardized by total, square-root transformed Bray-Curtis similarity matrix of the communities exposed to the low level of discharge water (</w:t>
      </w:r>
      <w:r w:rsidRPr="00DA0C35">
        <w:rPr>
          <w:b/>
          <w:i w:val="0"/>
          <w:color w:val="auto"/>
          <w:sz w:val="22"/>
          <w:szCs w:val="22"/>
        </w:rPr>
        <w:t>A</w:t>
      </w:r>
      <w:r w:rsidRPr="00DA0C35">
        <w:rPr>
          <w:i w:val="0"/>
          <w:color w:val="auto"/>
          <w:sz w:val="22"/>
          <w:szCs w:val="22"/>
        </w:rPr>
        <w:t>), high level of discharge water  (</w:t>
      </w:r>
      <w:r w:rsidRPr="00DA0C35">
        <w:rPr>
          <w:b/>
          <w:i w:val="0"/>
          <w:color w:val="auto"/>
          <w:sz w:val="22"/>
          <w:szCs w:val="22"/>
        </w:rPr>
        <w:t>B</w:t>
      </w:r>
      <w:r w:rsidRPr="00DA0C35">
        <w:rPr>
          <w:i w:val="0"/>
          <w:color w:val="auto"/>
          <w:sz w:val="22"/>
          <w:szCs w:val="22"/>
        </w:rPr>
        <w:t xml:space="preserve">). The high discharge level plot was zoomed in on </w:t>
      </w:r>
      <w:r w:rsidRPr="00DA0C35">
        <w:rPr>
          <w:bCs/>
          <w:i w:val="0"/>
          <w:color w:val="auto"/>
          <w:sz w:val="22"/>
          <w:szCs w:val="22"/>
        </w:rPr>
        <w:t>the majority of the colonies to clarify the point distribution (</w:t>
      </w:r>
      <w:r w:rsidRPr="00DA0C35">
        <w:rPr>
          <w:b/>
          <w:bCs/>
          <w:i w:val="0"/>
          <w:color w:val="auto"/>
          <w:sz w:val="22"/>
          <w:szCs w:val="22"/>
        </w:rPr>
        <w:t>C</w:t>
      </w:r>
      <w:r w:rsidRPr="00DA0C35">
        <w:rPr>
          <w:bCs/>
          <w:i w:val="0"/>
          <w:color w:val="auto"/>
          <w:sz w:val="22"/>
          <w:szCs w:val="22"/>
        </w:rPr>
        <w:t>). Each point represents a single SML community’s composition. Its position is based on its similarity to the composition of other SML communities. The color and shape of each point represent the community’s location.</w:t>
      </w:r>
    </w:p>
    <w:p w:rsidR="004F5D7B" w:rsidRDefault="004F5D7B" w:rsidP="00963E02">
      <w:pPr>
        <w:rPr>
          <w:smallCaps/>
        </w:rPr>
      </w:pPr>
    </w:p>
    <w:p w:rsidR="00DC4946" w:rsidRDefault="00DC4946" w:rsidP="00963E02">
      <w:pPr>
        <w:rPr>
          <w:smallCaps/>
        </w:rPr>
      </w:pPr>
      <w:r w:rsidRPr="0027088D">
        <w:rPr>
          <w:smallCaps/>
        </w:rPr>
        <w:t>Discussion</w:t>
      </w:r>
    </w:p>
    <w:p w:rsidR="005D434C" w:rsidRPr="0027088D" w:rsidRDefault="005D434C" w:rsidP="00963E02">
      <w:pPr>
        <w:rPr>
          <w:smallCaps/>
        </w:rPr>
      </w:pPr>
    </w:p>
    <w:p w:rsidR="00DC4946" w:rsidRDefault="00034810" w:rsidP="007F6567">
      <w:pPr>
        <w:ind w:firstLine="720"/>
        <w:jc w:val="left"/>
      </w:pPr>
      <w:r>
        <w:t>The results of this study show</w:t>
      </w:r>
      <w:r w:rsidR="006D111F">
        <w:t xml:space="preserve"> </w:t>
      </w:r>
      <w:r w:rsidR="009B115E" w:rsidRPr="0027088D">
        <w:t>the composition of the microbial communit</w:t>
      </w:r>
      <w:r w:rsidR="004F5D7B">
        <w:t>ies</w:t>
      </w:r>
      <w:r w:rsidR="005D434C">
        <w:t xml:space="preserve"> o</w:t>
      </w:r>
      <w:r w:rsidR="009B115E" w:rsidRPr="0027088D">
        <w:t xml:space="preserve">n the surface of </w:t>
      </w:r>
      <w:r w:rsidR="009B115E" w:rsidRPr="0027088D">
        <w:rPr>
          <w:i/>
        </w:rPr>
        <w:t xml:space="preserve">Montastraea cavernosa </w:t>
      </w:r>
      <w:r w:rsidR="004F5D7B">
        <w:t xml:space="preserve">colonies </w:t>
      </w:r>
      <w:r w:rsidR="007F6567" w:rsidRPr="0027088D">
        <w:t>shifted</w:t>
      </w:r>
      <w:r w:rsidR="004F5D7B">
        <w:t xml:space="preserve"> between time periods of varying discharge levels</w:t>
      </w:r>
      <w:r w:rsidR="009B115E" w:rsidRPr="0027088D">
        <w:t xml:space="preserve">. </w:t>
      </w:r>
      <w:r w:rsidR="004F5D7B">
        <w:t>Approximately two</w:t>
      </w:r>
      <w:r w:rsidR="007F6567" w:rsidRPr="0027088D">
        <w:t xml:space="preserve"> third</w:t>
      </w:r>
      <w:r w:rsidR="004F5D7B">
        <w:t>s</w:t>
      </w:r>
      <w:r w:rsidR="007F6567" w:rsidRPr="0027088D">
        <w:t xml:space="preserve"> of the s</w:t>
      </w:r>
      <w:r w:rsidR="006871A4" w:rsidRPr="0027088D">
        <w:t>pecies or groups of species</w:t>
      </w:r>
      <w:r w:rsidR="007F6567" w:rsidRPr="0027088D">
        <w:t xml:space="preserve">, represented by amplicon lengths in </w:t>
      </w:r>
      <w:r w:rsidR="004F5D7B">
        <w:t xml:space="preserve">the </w:t>
      </w:r>
      <w:r w:rsidR="007F6567" w:rsidRPr="0027088D">
        <w:t>LH-PCR</w:t>
      </w:r>
      <w:r w:rsidR="004F5D7B">
        <w:t xml:space="preserve"> profiles</w:t>
      </w:r>
      <w:r w:rsidR="007F6567" w:rsidRPr="0027088D">
        <w:t>,</w:t>
      </w:r>
      <w:r w:rsidR="006871A4" w:rsidRPr="0027088D">
        <w:t xml:space="preserve"> differed at relatively low percentages between the</w:t>
      </w:r>
      <w:r w:rsidR="005D434C">
        <w:t xml:space="preserve"> communities</w:t>
      </w:r>
      <w:r w:rsidR="007F6567" w:rsidRPr="0027088D">
        <w:t xml:space="preserve">. </w:t>
      </w:r>
      <w:r w:rsidR="004F5D7B">
        <w:t>T</w:t>
      </w:r>
      <w:r w:rsidR="007F6567" w:rsidRPr="0027088D">
        <w:t>his shift</w:t>
      </w:r>
      <w:r w:rsidR="004F5D7B">
        <w:t xml:space="preserve"> in the abundance of several taxons at low levels</w:t>
      </w:r>
      <w:r w:rsidR="007F6567" w:rsidRPr="0027088D">
        <w:t xml:space="preserve"> suggests that the </w:t>
      </w:r>
      <w:r w:rsidR="00DA0C35">
        <w:t xml:space="preserve">surface </w:t>
      </w:r>
      <w:r w:rsidR="007F6567" w:rsidRPr="0027088D">
        <w:t xml:space="preserve">community of </w:t>
      </w:r>
      <w:r w:rsidR="007F6567" w:rsidRPr="0027088D">
        <w:rPr>
          <w:i/>
        </w:rPr>
        <w:t>M. cavernosa</w:t>
      </w:r>
      <w:r w:rsidR="007F6567" w:rsidRPr="0027088D">
        <w:t xml:space="preserve"> is relatively stable, but can be sligh</w:t>
      </w:r>
      <w:r w:rsidR="00585008" w:rsidRPr="0027088D">
        <w:t>tly altered when environmental conditions change</w:t>
      </w:r>
      <w:r w:rsidR="004F5D7B">
        <w:t xml:space="preserve"> substantially</w:t>
      </w:r>
      <w:r w:rsidR="00585008" w:rsidRPr="0027088D">
        <w:t>,</w:t>
      </w:r>
      <w:r w:rsidR="0043616C">
        <w:t xml:space="preserve"> such as</w:t>
      </w:r>
      <w:r w:rsidR="00DF7482" w:rsidRPr="0027088D">
        <w:t xml:space="preserve"> the influx of high levels of freshwater discharge water</w:t>
      </w:r>
      <w:r w:rsidR="0043616C">
        <w:t>.</w:t>
      </w:r>
    </w:p>
    <w:p w:rsidR="00DA0C35" w:rsidRDefault="0043616C" w:rsidP="007F6567">
      <w:pPr>
        <w:ind w:firstLine="720"/>
        <w:jc w:val="left"/>
        <w:rPr>
          <w:bCs/>
        </w:rPr>
      </w:pPr>
      <w:r w:rsidRPr="0043616C">
        <w:rPr>
          <w:bCs/>
        </w:rPr>
        <w:t xml:space="preserve">Heterotrophs, corresponding to amplicon lengths 335 to 345, were less abundant in the high discharge group than the low discharge group. </w:t>
      </w:r>
      <w:r w:rsidR="00DA0C35" w:rsidRPr="00DA0C35">
        <w:rPr>
          <w:bCs/>
        </w:rPr>
        <w:t xml:space="preserve">In particular, </w:t>
      </w:r>
      <w:r w:rsidR="003B5EE1">
        <w:rPr>
          <w:bCs/>
        </w:rPr>
        <w:t>heterotrophs</w:t>
      </w:r>
      <w:r w:rsidR="00DA0C35" w:rsidRPr="00DA0C35">
        <w:rPr>
          <w:bCs/>
        </w:rPr>
        <w:t xml:space="preserve"> corresponding to length 345 were present at 12% in the low discharge group but nearly absent in the high discharge group at 0.65%.</w:t>
      </w:r>
      <w:r w:rsidR="00DA0C35">
        <w:rPr>
          <w:bCs/>
        </w:rPr>
        <w:t xml:space="preserve"> Heterotrophic communities tend to thrive in oligotrophic conditions (Duarte et al 2013). The </w:t>
      </w:r>
      <w:r w:rsidR="007910A0">
        <w:rPr>
          <w:bCs/>
        </w:rPr>
        <w:t>introduction of eutrophic water during high flow</w:t>
      </w:r>
      <w:r w:rsidR="00DA0C35">
        <w:rPr>
          <w:bCs/>
        </w:rPr>
        <w:t xml:space="preserve"> of discharge water could explain the decrease in heterotrophs observed in the surface communities of the high discharge level group</w:t>
      </w:r>
      <w:r w:rsidR="00EE0079">
        <w:rPr>
          <w:bCs/>
        </w:rPr>
        <w:t xml:space="preserve"> (Lapointe et al 2012)</w:t>
      </w:r>
      <w:r w:rsidR="00DA0C35">
        <w:rPr>
          <w:bCs/>
        </w:rPr>
        <w:t xml:space="preserve">. </w:t>
      </w:r>
    </w:p>
    <w:p w:rsidR="00FD21CB" w:rsidRDefault="00E1396E" w:rsidP="007F6567">
      <w:pPr>
        <w:ind w:firstLine="720"/>
        <w:jc w:val="left"/>
        <w:rPr>
          <w:bCs/>
        </w:rPr>
      </w:pPr>
      <w:r>
        <w:rPr>
          <w:bCs/>
        </w:rPr>
        <w:t>Fu</w:t>
      </w:r>
      <w:r w:rsidR="005C43FA">
        <w:rPr>
          <w:bCs/>
        </w:rPr>
        <w:t>rther evidence for</w:t>
      </w:r>
      <w:r>
        <w:rPr>
          <w:bCs/>
        </w:rPr>
        <w:t xml:space="preserve"> discharge water contamination on coral surface communities is the relative abundance of amplicon length </w:t>
      </w:r>
      <w:r w:rsidR="005C43FA">
        <w:rPr>
          <w:bCs/>
        </w:rPr>
        <w:t>357</w:t>
      </w:r>
      <w:r>
        <w:rPr>
          <w:bCs/>
        </w:rPr>
        <w:t xml:space="preserve">. </w:t>
      </w:r>
      <w:r w:rsidR="007910A0">
        <w:rPr>
          <w:bCs/>
        </w:rPr>
        <w:t>Amplicon length 357</w:t>
      </w:r>
      <w:r>
        <w:rPr>
          <w:bCs/>
        </w:rPr>
        <w:t xml:space="preserve"> </w:t>
      </w:r>
      <w:r w:rsidR="007910A0">
        <w:rPr>
          <w:bCs/>
        </w:rPr>
        <w:t xml:space="preserve">likely </w:t>
      </w:r>
      <w:r>
        <w:rPr>
          <w:bCs/>
        </w:rPr>
        <w:t>corresponds to sulfide oxidizers and other microbes associated with anoxic environments</w:t>
      </w:r>
      <w:r w:rsidR="006833B3">
        <w:rPr>
          <w:bCs/>
        </w:rPr>
        <w:t xml:space="preserve"> (Joshua Voss, personal communication, June 21, </w:t>
      </w:r>
      <w:r w:rsidR="00FD21CB">
        <w:rPr>
          <w:bCs/>
        </w:rPr>
        <w:t>2015)</w:t>
      </w:r>
      <w:r>
        <w:rPr>
          <w:bCs/>
        </w:rPr>
        <w:t xml:space="preserve">. </w:t>
      </w:r>
      <w:r w:rsidR="00FD21CB">
        <w:rPr>
          <w:bCs/>
        </w:rPr>
        <w:t>T</w:t>
      </w:r>
      <w:r w:rsidR="005D434C">
        <w:rPr>
          <w:bCs/>
        </w:rPr>
        <w:t xml:space="preserve">he </w:t>
      </w:r>
      <w:r w:rsidR="00FD21CB">
        <w:rPr>
          <w:bCs/>
        </w:rPr>
        <w:t xml:space="preserve">average </w:t>
      </w:r>
      <w:r w:rsidR="005D434C">
        <w:rPr>
          <w:bCs/>
        </w:rPr>
        <w:t>relative abundance of</w:t>
      </w:r>
      <w:r w:rsidR="00FD21CB">
        <w:rPr>
          <w:bCs/>
        </w:rPr>
        <w:t xml:space="preserve"> amplicon length 35</w:t>
      </w:r>
      <w:r w:rsidR="007910A0">
        <w:rPr>
          <w:bCs/>
        </w:rPr>
        <w:t>7</w:t>
      </w:r>
      <w:r w:rsidR="00FD21CB">
        <w:rPr>
          <w:bCs/>
        </w:rPr>
        <w:t xml:space="preserve"> was </w:t>
      </w:r>
      <w:r w:rsidR="007910A0">
        <w:rPr>
          <w:bCs/>
        </w:rPr>
        <w:t>roughly 12 times</w:t>
      </w:r>
      <w:r w:rsidR="003B5EE1">
        <w:rPr>
          <w:bCs/>
        </w:rPr>
        <w:t xml:space="preserve"> higher</w:t>
      </w:r>
      <w:r w:rsidR="00FD21CB">
        <w:rPr>
          <w:bCs/>
        </w:rPr>
        <w:t xml:space="preserve"> in the surface communities of the high discharge group (</w:t>
      </w:r>
      <w:r w:rsidR="007910A0">
        <w:rPr>
          <w:bCs/>
        </w:rPr>
        <w:t>3</w:t>
      </w:r>
      <w:r w:rsidR="00FD21CB">
        <w:rPr>
          <w:bCs/>
        </w:rPr>
        <w:t>.5</w:t>
      </w:r>
      <w:r w:rsidR="007910A0">
        <w:rPr>
          <w:bCs/>
        </w:rPr>
        <w:t>7</w:t>
      </w:r>
      <w:r w:rsidR="00FD21CB">
        <w:rPr>
          <w:bCs/>
        </w:rPr>
        <w:t>%) than those of the low discharge group (</w:t>
      </w:r>
      <w:r w:rsidR="007910A0">
        <w:rPr>
          <w:bCs/>
        </w:rPr>
        <w:t>0</w:t>
      </w:r>
      <w:r w:rsidR="00FD21CB">
        <w:rPr>
          <w:bCs/>
        </w:rPr>
        <w:t>.</w:t>
      </w:r>
      <w:r w:rsidR="007910A0">
        <w:rPr>
          <w:bCs/>
        </w:rPr>
        <w:t>3</w:t>
      </w:r>
      <w:r w:rsidR="00FD21CB">
        <w:rPr>
          <w:bCs/>
        </w:rPr>
        <w:t>%).</w:t>
      </w:r>
      <w:r w:rsidR="005D434C">
        <w:rPr>
          <w:bCs/>
        </w:rPr>
        <w:t xml:space="preserve"> </w:t>
      </w:r>
    </w:p>
    <w:p w:rsidR="00954DD0" w:rsidRDefault="005C43FA" w:rsidP="007F6567">
      <w:pPr>
        <w:ind w:firstLine="720"/>
        <w:jc w:val="left"/>
        <w:rPr>
          <w:bCs/>
        </w:rPr>
      </w:pPr>
      <w:r>
        <w:rPr>
          <w:bCs/>
        </w:rPr>
        <w:t>T</w:t>
      </w:r>
      <w:r w:rsidR="0043616C">
        <w:rPr>
          <w:bCs/>
        </w:rPr>
        <w:t>axons corresponding</w:t>
      </w:r>
      <w:r w:rsidR="00C4579A">
        <w:rPr>
          <w:bCs/>
        </w:rPr>
        <w:t xml:space="preserve"> to length 313 shared a simila</w:t>
      </w:r>
      <w:r w:rsidR="0043616C">
        <w:rPr>
          <w:bCs/>
        </w:rPr>
        <w:t>r</w:t>
      </w:r>
      <w:r w:rsidR="00C4579A">
        <w:rPr>
          <w:bCs/>
        </w:rPr>
        <w:t xml:space="preserve"> average r</w:t>
      </w:r>
      <w:r w:rsidR="0043616C">
        <w:rPr>
          <w:bCs/>
        </w:rPr>
        <w:t>elative abundance</w:t>
      </w:r>
      <w:r w:rsidR="00E635D3">
        <w:rPr>
          <w:bCs/>
        </w:rPr>
        <w:t xml:space="preserve"> between the discharge groups</w:t>
      </w:r>
      <w:r>
        <w:rPr>
          <w:bCs/>
        </w:rPr>
        <w:t>, roughly 24%; however</w:t>
      </w:r>
      <w:r w:rsidR="0043616C">
        <w:rPr>
          <w:bCs/>
        </w:rPr>
        <w:t xml:space="preserve"> the dissimilarity value of these relative abundan</w:t>
      </w:r>
      <w:r w:rsidR="00C4579A">
        <w:rPr>
          <w:bCs/>
        </w:rPr>
        <w:t xml:space="preserve">ces was relatively high at 5.03. </w:t>
      </w:r>
      <w:r>
        <w:rPr>
          <w:bCs/>
        </w:rPr>
        <w:t>A likely reason for the high</w:t>
      </w:r>
      <w:r w:rsidR="005D434C">
        <w:rPr>
          <w:bCs/>
        </w:rPr>
        <w:t xml:space="preserve"> value is that the relative abundance of 313 varied greatly in one of the discharge groups, but was relatively consistent in the other discharge group</w:t>
      </w:r>
      <w:r w:rsidR="00E635D3">
        <w:rPr>
          <w:bCs/>
        </w:rPr>
        <w:t>.</w:t>
      </w:r>
      <w:r w:rsidR="0043616C">
        <w:rPr>
          <w:bCs/>
        </w:rPr>
        <w:t xml:space="preserve"> </w:t>
      </w:r>
      <w:r>
        <w:rPr>
          <w:bCs/>
        </w:rPr>
        <w:t>The amplicon length</w:t>
      </w:r>
      <w:r w:rsidR="00C4579A">
        <w:rPr>
          <w:bCs/>
        </w:rPr>
        <w:t xml:space="preserve"> </w:t>
      </w:r>
      <w:r w:rsidR="0086642F" w:rsidRPr="0086642F">
        <w:rPr>
          <w:bCs/>
        </w:rPr>
        <w:t>313</w:t>
      </w:r>
      <w:r w:rsidR="00C4579A">
        <w:rPr>
          <w:bCs/>
        </w:rPr>
        <w:t xml:space="preserve"> is</w:t>
      </w:r>
      <w:r w:rsidR="0086642F" w:rsidRPr="0086642F">
        <w:rPr>
          <w:bCs/>
        </w:rPr>
        <w:t xml:space="preserve"> associated with alphaproteobacteria and cyanobacteria</w:t>
      </w:r>
      <w:r>
        <w:rPr>
          <w:bCs/>
        </w:rPr>
        <w:t xml:space="preserve"> (</w:t>
      </w:r>
      <w:r w:rsidR="006833B3" w:rsidRPr="006833B3">
        <w:rPr>
          <w:bCs/>
        </w:rPr>
        <w:t xml:space="preserve">Joshua Voss, personal </w:t>
      </w:r>
      <w:r w:rsidR="006833B3" w:rsidRPr="006833B3">
        <w:rPr>
          <w:bCs/>
        </w:rPr>
        <w:lastRenderedPageBreak/>
        <w:t>communication, June 21, 2015</w:t>
      </w:r>
      <w:r>
        <w:rPr>
          <w:bCs/>
        </w:rPr>
        <w:t>)</w:t>
      </w:r>
      <w:r w:rsidR="0086642F" w:rsidRPr="0086642F">
        <w:rPr>
          <w:bCs/>
        </w:rPr>
        <w:t xml:space="preserve">. </w:t>
      </w:r>
      <w:r>
        <w:rPr>
          <w:bCs/>
        </w:rPr>
        <w:t>Cyanobacterial blooms have been documented in Lake Okeechobee (Lapointe et al 2012). The results of thi</w:t>
      </w:r>
      <w:r w:rsidR="00BC43D4">
        <w:rPr>
          <w:bCs/>
        </w:rPr>
        <w:t>s do not indicate an increase specifically in</w:t>
      </w:r>
      <w:r>
        <w:rPr>
          <w:bCs/>
        </w:rPr>
        <w:t xml:space="preserve"> cyanobacteria in the surface communities of the high discharge group; however, the high dissimilarity between the two discharge groups suggest a </w:t>
      </w:r>
      <w:r w:rsidR="00BC43D4">
        <w:rPr>
          <w:bCs/>
        </w:rPr>
        <w:t xml:space="preserve">possible </w:t>
      </w:r>
      <w:r>
        <w:rPr>
          <w:bCs/>
        </w:rPr>
        <w:t>shift in the distribution of cyanobacteria</w:t>
      </w:r>
      <w:r w:rsidR="00BC43D4">
        <w:rPr>
          <w:bCs/>
        </w:rPr>
        <w:t xml:space="preserve"> or other related microbes</w:t>
      </w:r>
      <w:r>
        <w:rPr>
          <w:bCs/>
        </w:rPr>
        <w:t xml:space="preserve"> among the communities</w:t>
      </w:r>
      <w:r w:rsidR="003B5EE1">
        <w:rPr>
          <w:bCs/>
        </w:rPr>
        <w:t>, which could have been a result of freshwater discharge</w:t>
      </w:r>
      <w:r>
        <w:rPr>
          <w:bCs/>
        </w:rPr>
        <w:t>.</w:t>
      </w:r>
      <w:r w:rsidR="00BC43D4">
        <w:rPr>
          <w:bCs/>
        </w:rPr>
        <w:t xml:space="preserve"> </w:t>
      </w:r>
    </w:p>
    <w:p w:rsidR="00585008" w:rsidRDefault="00BC43D4" w:rsidP="007F6567">
      <w:pPr>
        <w:ind w:firstLine="720"/>
        <w:jc w:val="left"/>
      </w:pPr>
      <w:r>
        <w:rPr>
          <w:bCs/>
        </w:rPr>
        <w:t>Overall, w</w:t>
      </w:r>
      <w:r w:rsidR="00954DD0">
        <w:rPr>
          <w:bCs/>
        </w:rPr>
        <w:t>hile thi</w:t>
      </w:r>
      <w:r>
        <w:rPr>
          <w:bCs/>
        </w:rPr>
        <w:t xml:space="preserve">s community shift </w:t>
      </w:r>
      <w:r w:rsidR="00444D46">
        <w:rPr>
          <w:bCs/>
        </w:rPr>
        <w:t>may implicate</w:t>
      </w:r>
      <w:r w:rsidR="00954DD0">
        <w:rPr>
          <w:bCs/>
        </w:rPr>
        <w:t xml:space="preserve"> freshwater discharge contamination in</w:t>
      </w:r>
      <w:r w:rsidR="00444D46">
        <w:rPr>
          <w:bCs/>
        </w:rPr>
        <w:t xml:space="preserve"> altering </w:t>
      </w:r>
      <w:r w:rsidR="00954DD0">
        <w:rPr>
          <w:bCs/>
        </w:rPr>
        <w:t xml:space="preserve">the surface community composition of </w:t>
      </w:r>
      <w:r w:rsidR="00954DD0" w:rsidRPr="00954DD0">
        <w:rPr>
          <w:bCs/>
          <w:i/>
        </w:rPr>
        <w:t>M. cavernosa</w:t>
      </w:r>
      <w:r>
        <w:rPr>
          <w:bCs/>
        </w:rPr>
        <w:t>, the</w:t>
      </w:r>
      <w:r w:rsidR="00444D46">
        <w:rPr>
          <w:bCs/>
        </w:rPr>
        <w:t xml:space="preserve"> alteration</w:t>
      </w:r>
      <w:r w:rsidR="00954DD0">
        <w:rPr>
          <w:bCs/>
        </w:rPr>
        <w:t xml:space="preserve"> may</w:t>
      </w:r>
      <w:r w:rsidR="00444D46">
        <w:rPr>
          <w:bCs/>
        </w:rPr>
        <w:t xml:space="preserve"> not directly</w:t>
      </w:r>
      <w:r w:rsidR="00954DD0">
        <w:rPr>
          <w:bCs/>
        </w:rPr>
        <w:t xml:space="preserve"> impact the </w:t>
      </w:r>
      <w:r w:rsidR="00444D46">
        <w:rPr>
          <w:bCs/>
        </w:rPr>
        <w:t xml:space="preserve">host </w:t>
      </w:r>
      <w:r w:rsidR="00954DD0">
        <w:rPr>
          <w:bCs/>
        </w:rPr>
        <w:t>coral’s physiology.</w:t>
      </w:r>
      <w:r w:rsidR="005C43FA">
        <w:rPr>
          <w:bCs/>
        </w:rPr>
        <w:t xml:space="preserve"> </w:t>
      </w:r>
      <w:r w:rsidR="00444D46">
        <w:rPr>
          <w:bCs/>
        </w:rPr>
        <w:t xml:space="preserve">This study’s results showed </w:t>
      </w:r>
      <w:r w:rsidR="00DF7482" w:rsidRPr="0027088D">
        <w:t xml:space="preserve">species or groups of species in the </w:t>
      </w:r>
      <w:r w:rsidR="003B5EE1">
        <w:t>surface</w:t>
      </w:r>
      <w:r w:rsidR="00DF7482" w:rsidRPr="0027088D">
        <w:t xml:space="preserve"> communities varied a</w:t>
      </w:r>
      <w:r w:rsidR="005C43FA">
        <w:t>t relatively low percentages</w:t>
      </w:r>
      <w:r w:rsidR="003B5EE1">
        <w:t xml:space="preserve"> b</w:t>
      </w:r>
      <w:r w:rsidR="00444D46">
        <w:t xml:space="preserve">etween the discharge levels. The </w:t>
      </w:r>
      <w:r w:rsidR="003B5EE1">
        <w:t xml:space="preserve">seemingly slight </w:t>
      </w:r>
      <w:r w:rsidR="00444D46">
        <w:t>alteration has potential to</w:t>
      </w:r>
      <w:r w:rsidR="00DF7482" w:rsidRPr="0027088D">
        <w:t xml:space="preserve"> be quite </w:t>
      </w:r>
      <w:r w:rsidR="005C43FA" w:rsidRPr="0027088D">
        <w:t>momentous</w:t>
      </w:r>
      <w:r w:rsidR="00DF7482" w:rsidRPr="0027088D">
        <w:t xml:space="preserve">. In a study by Ainsworth et al, ubiquitous and physiologically essential microbes of the core coral microbiome were found to be present at abundances less than 1% across all species analyzed (2015).  </w:t>
      </w:r>
      <w:r>
        <w:t>However, b</w:t>
      </w:r>
      <w:r w:rsidR="003B5EE1">
        <w:t>ecause LH-PCR can only identify community members at the phyla level, a</w:t>
      </w:r>
      <w:r w:rsidR="00585008" w:rsidRPr="0027088D">
        <w:t>ddition</w:t>
      </w:r>
      <w:r w:rsidR="00444D46">
        <w:t>al sequencing and analysis is required to</w:t>
      </w:r>
      <w:r w:rsidR="00DF7482" w:rsidRPr="0027088D">
        <w:t xml:space="preserve"> reveal </w:t>
      </w:r>
      <w:r w:rsidR="00444D46">
        <w:t>whether the abundance of biologically critical microbes was impacted.</w:t>
      </w:r>
    </w:p>
    <w:p w:rsidR="00434AB8" w:rsidRPr="0027088D" w:rsidRDefault="00444D46" w:rsidP="007F6567">
      <w:pPr>
        <w:ind w:firstLine="720"/>
        <w:jc w:val="left"/>
      </w:pPr>
      <w:r>
        <w:t>Stormwater treatment plants are currently under construction to minimize the destructive effects of disch</w:t>
      </w:r>
      <w:r w:rsidR="00BC43D4">
        <w:t>arge water from Lake Okeechobee. The threat of harmful microbes from freshwater discharge may be reduced by these efforts. However, understanding the current state of M. cavernosa surface communities at present can help shape additional protective and restorative measures of this species.</w:t>
      </w:r>
    </w:p>
    <w:p w:rsidR="00DA0C35" w:rsidRDefault="00DA0C35" w:rsidP="00963E02">
      <w:pPr>
        <w:rPr>
          <w:smallCaps/>
        </w:rPr>
      </w:pPr>
    </w:p>
    <w:p w:rsidR="00E83A2E" w:rsidRDefault="00FC28F9" w:rsidP="00963E02">
      <w:pPr>
        <w:rPr>
          <w:smallCaps/>
        </w:rPr>
      </w:pPr>
      <w:r w:rsidRPr="0027088D">
        <w:rPr>
          <w:smallCaps/>
        </w:rPr>
        <w:t>References</w:t>
      </w:r>
    </w:p>
    <w:p w:rsidR="00DA0C35" w:rsidRPr="0027088D" w:rsidRDefault="00DA0C35" w:rsidP="00963E02">
      <w:pPr>
        <w:rPr>
          <w:smallCaps/>
        </w:rPr>
      </w:pPr>
    </w:p>
    <w:p w:rsidR="008E5A48" w:rsidRPr="0027088D" w:rsidRDefault="008E5A48" w:rsidP="00963E02">
      <w:pPr>
        <w:jc w:val="left"/>
      </w:pPr>
      <w:r w:rsidRPr="0027088D">
        <w:t xml:space="preserve">Ainsworth, T. D., Krause, L., Bridge, T., Torda, G., Raina, J. B., Zakrzewski, M., ... &amp; Leggat, W. (2015). The </w:t>
      </w:r>
    </w:p>
    <w:p w:rsidR="008E5A48" w:rsidRPr="0027088D" w:rsidRDefault="008E5A48" w:rsidP="008E5A48">
      <w:pPr>
        <w:ind w:firstLine="720"/>
        <w:jc w:val="left"/>
        <w:rPr>
          <w:i/>
          <w:iCs/>
        </w:rPr>
      </w:pPr>
      <w:r w:rsidRPr="0027088D">
        <w:t>coral core microbiome identifies rare bacterial taxa as ubiquitous endosymbionts. </w:t>
      </w:r>
      <w:r w:rsidRPr="0027088D">
        <w:rPr>
          <w:i/>
          <w:iCs/>
        </w:rPr>
        <w:t xml:space="preserve">The ISME </w:t>
      </w:r>
    </w:p>
    <w:p w:rsidR="008E5A48" w:rsidRDefault="008E5A48" w:rsidP="008E5A48">
      <w:pPr>
        <w:ind w:firstLine="720"/>
        <w:jc w:val="left"/>
      </w:pPr>
      <w:r w:rsidRPr="0027088D">
        <w:rPr>
          <w:i/>
          <w:iCs/>
        </w:rPr>
        <w:t>Journal</w:t>
      </w:r>
      <w:r w:rsidRPr="0027088D">
        <w:t>.</w:t>
      </w:r>
    </w:p>
    <w:p w:rsidR="00E252F2" w:rsidRDefault="00E252F2" w:rsidP="00E252F2">
      <w:pPr>
        <w:jc w:val="left"/>
      </w:pPr>
      <w:r w:rsidRPr="00E252F2">
        <w:t xml:space="preserve">Beal, J., Voss, J., Edge, S., &amp; Cohen, L. (2012). Assessment of Coral Stressors on St. Lucie Reef: Florida's </w:t>
      </w:r>
    </w:p>
    <w:p w:rsidR="00E252F2" w:rsidRDefault="00E252F2" w:rsidP="00E252F2">
      <w:pPr>
        <w:ind w:firstLine="720"/>
        <w:jc w:val="left"/>
        <w:rPr>
          <w:i/>
          <w:iCs/>
        </w:rPr>
      </w:pPr>
      <w:r w:rsidRPr="00E252F2">
        <w:t>Northernmost Coral Reef. </w:t>
      </w:r>
      <w:r w:rsidRPr="00E252F2">
        <w:rPr>
          <w:i/>
          <w:iCs/>
        </w:rPr>
        <w:t xml:space="preserve">Atlanta, Georgia: US Fish and Wildlife Service, Final Report for State </w:t>
      </w:r>
    </w:p>
    <w:p w:rsidR="00E252F2" w:rsidRPr="0027088D" w:rsidRDefault="00E252F2" w:rsidP="00E252F2">
      <w:pPr>
        <w:ind w:left="720"/>
        <w:jc w:val="left"/>
      </w:pPr>
      <w:r w:rsidRPr="00E252F2">
        <w:rPr>
          <w:i/>
          <w:iCs/>
        </w:rPr>
        <w:t>Wildlife GrantT-19-1, 54p</w:t>
      </w:r>
      <w:r w:rsidRPr="00E252F2">
        <w:t>.</w:t>
      </w:r>
    </w:p>
    <w:p w:rsidR="00E83A2E" w:rsidRPr="0027088D" w:rsidRDefault="00E83A2E" w:rsidP="008E5A48">
      <w:pPr>
        <w:jc w:val="left"/>
      </w:pPr>
      <w:r w:rsidRPr="0027088D">
        <w:t xml:space="preserve">Burke, L. and J. Maidens (2004) Reefs at Risk in the Caribbean: Technical Report. World </w:t>
      </w:r>
    </w:p>
    <w:p w:rsidR="00E83A2E" w:rsidRDefault="00E83A2E" w:rsidP="00963E02">
      <w:pPr>
        <w:ind w:firstLine="720"/>
        <w:jc w:val="left"/>
      </w:pPr>
      <w:r w:rsidRPr="0027088D">
        <w:t>Resource Institute. 1.1: 9-10</w:t>
      </w:r>
    </w:p>
    <w:p w:rsidR="00DA0C35" w:rsidRDefault="00DA0C35" w:rsidP="00DA0C35">
      <w:pPr>
        <w:jc w:val="left"/>
      </w:pPr>
      <w:r w:rsidRPr="00DA0C35">
        <w:t xml:space="preserve">Duarte, C. M., Regaudie-de-Gioux, A., Arrieta, J. M., Delgado-Huertas, A., &amp; Agustí, S. (2013). The </w:t>
      </w:r>
    </w:p>
    <w:p w:rsidR="00DA0C35" w:rsidRPr="0027088D" w:rsidRDefault="00DA0C35" w:rsidP="00DA0C35">
      <w:pPr>
        <w:ind w:firstLine="720"/>
        <w:jc w:val="left"/>
      </w:pPr>
      <w:r w:rsidRPr="00DA0C35">
        <w:t>Oligotrophic Ocean Is Heterotrophic*. </w:t>
      </w:r>
      <w:r w:rsidRPr="00DA0C35">
        <w:rPr>
          <w:i/>
          <w:iCs/>
        </w:rPr>
        <w:t>Marine Science</w:t>
      </w:r>
      <w:r w:rsidRPr="00DA0C35">
        <w:t>,</w:t>
      </w:r>
      <w:r w:rsidRPr="00DA0C35">
        <w:rPr>
          <w:i/>
          <w:iCs/>
        </w:rPr>
        <w:t>5</w:t>
      </w:r>
      <w:r w:rsidRPr="00DA0C35">
        <w:t>.</w:t>
      </w:r>
    </w:p>
    <w:p w:rsidR="00FB34CF" w:rsidRPr="0027088D" w:rsidRDefault="006B0366" w:rsidP="00963E02">
      <w:pPr>
        <w:jc w:val="left"/>
      </w:pPr>
      <w:r w:rsidRPr="0027088D">
        <w:t xml:space="preserve">Fabricius, K. E. (2005). Effects of terrestrial runoff on the ecology of corals and coral reefs: review and </w:t>
      </w:r>
    </w:p>
    <w:p w:rsidR="00E83A2E" w:rsidRPr="0027088D" w:rsidRDefault="006B0366" w:rsidP="00963E02">
      <w:pPr>
        <w:ind w:firstLine="720"/>
        <w:jc w:val="left"/>
      </w:pPr>
      <w:r w:rsidRPr="0027088D">
        <w:t>synthesis. </w:t>
      </w:r>
      <w:r w:rsidRPr="0027088D">
        <w:rPr>
          <w:i/>
          <w:iCs/>
        </w:rPr>
        <w:t>Marine pollution bulletin</w:t>
      </w:r>
      <w:r w:rsidRPr="0027088D">
        <w:t>, </w:t>
      </w:r>
      <w:r w:rsidRPr="0027088D">
        <w:rPr>
          <w:i/>
          <w:iCs/>
        </w:rPr>
        <w:t>50</w:t>
      </w:r>
      <w:r w:rsidRPr="0027088D">
        <w:t>(2), 125-146.</w:t>
      </w:r>
    </w:p>
    <w:p w:rsidR="00E83A2E" w:rsidRPr="0027088D" w:rsidRDefault="00E83A2E" w:rsidP="00963E02">
      <w:pPr>
        <w:jc w:val="left"/>
        <w:rPr>
          <w:bCs/>
        </w:rPr>
      </w:pPr>
      <w:r w:rsidRPr="0027088D">
        <w:t xml:space="preserve">Gardner et al. (2003) </w:t>
      </w:r>
      <w:r w:rsidRPr="0027088D">
        <w:rPr>
          <w:bCs/>
        </w:rPr>
        <w:t xml:space="preserve">Long-term region-wide declines in Caribbean corals.  American </w:t>
      </w:r>
    </w:p>
    <w:p w:rsidR="00E83A2E" w:rsidRPr="0027088D" w:rsidRDefault="00E83A2E" w:rsidP="00963E02">
      <w:pPr>
        <w:ind w:firstLine="720"/>
        <w:jc w:val="left"/>
        <w:rPr>
          <w:bCs/>
        </w:rPr>
      </w:pPr>
      <w:r w:rsidRPr="0027088D">
        <w:rPr>
          <w:bCs/>
        </w:rPr>
        <w:t>Association of the Advancement of Science 301: 958-960</w:t>
      </w:r>
    </w:p>
    <w:p w:rsidR="003359C4" w:rsidRPr="0027088D" w:rsidRDefault="00FB34CF" w:rsidP="00963E02">
      <w:pPr>
        <w:jc w:val="left"/>
      </w:pPr>
      <w:r w:rsidRPr="0027088D">
        <w:t xml:space="preserve">Lapointe, B. E., Herren, L. W., &amp; Bedford, B. J. (2012). Effects of hurricanes, land use, and water </w:t>
      </w:r>
    </w:p>
    <w:p w:rsidR="003359C4" w:rsidRPr="0027088D" w:rsidRDefault="00FB34CF" w:rsidP="00963E02">
      <w:pPr>
        <w:ind w:firstLine="720"/>
        <w:jc w:val="left"/>
        <w:rPr>
          <w:i/>
          <w:iCs/>
        </w:rPr>
      </w:pPr>
      <w:r w:rsidRPr="0027088D">
        <w:t>management on nutrient and microbial pollution: St. Lucie Estuary, Southeast Florida. </w:t>
      </w:r>
      <w:r w:rsidRPr="0027088D">
        <w:rPr>
          <w:i/>
          <w:iCs/>
        </w:rPr>
        <w:t xml:space="preserve">Journal of </w:t>
      </w:r>
    </w:p>
    <w:p w:rsidR="00FB34CF" w:rsidRPr="0027088D" w:rsidRDefault="00FB34CF" w:rsidP="00963E02">
      <w:pPr>
        <w:ind w:firstLine="720"/>
        <w:jc w:val="left"/>
      </w:pPr>
      <w:r w:rsidRPr="0027088D">
        <w:rPr>
          <w:i/>
          <w:iCs/>
        </w:rPr>
        <w:t>Coastal Research</w:t>
      </w:r>
      <w:r w:rsidRPr="0027088D">
        <w:t>, </w:t>
      </w:r>
      <w:r w:rsidRPr="0027088D">
        <w:rPr>
          <w:i/>
          <w:iCs/>
        </w:rPr>
        <w:t>28</w:t>
      </w:r>
      <w:r w:rsidRPr="0027088D">
        <w:t>(6), 1345-1361.</w:t>
      </w:r>
    </w:p>
    <w:p w:rsidR="003359C4" w:rsidRPr="0027088D" w:rsidRDefault="00E83A2E" w:rsidP="00963E02">
      <w:pPr>
        <w:jc w:val="left"/>
      </w:pPr>
      <w:r w:rsidRPr="0027088D">
        <w:t xml:space="preserve">Lesser, M. P., Falcón, L. I., Rodríguez-Román, A., Enríquez, S., Hoegh-Guldberg, O., &amp; Iglesias-Prieto, R. </w:t>
      </w:r>
    </w:p>
    <w:p w:rsidR="003359C4" w:rsidRPr="0027088D" w:rsidRDefault="00E83A2E" w:rsidP="00963E02">
      <w:pPr>
        <w:ind w:firstLine="720"/>
        <w:jc w:val="left"/>
      </w:pPr>
      <w:r w:rsidRPr="0027088D">
        <w:t xml:space="preserve">(2007). Nitrogen fixation by symbiotic cyanobacteria provides a source of nitrogen for the </w:t>
      </w:r>
    </w:p>
    <w:p w:rsidR="00E83A2E" w:rsidRPr="0027088D" w:rsidRDefault="00E83A2E" w:rsidP="00963E02">
      <w:pPr>
        <w:ind w:firstLine="720"/>
        <w:jc w:val="left"/>
      </w:pPr>
      <w:r w:rsidRPr="0027088D">
        <w:t>scleractinian coral Montastraea cavernosa. </w:t>
      </w:r>
      <w:r w:rsidRPr="0027088D">
        <w:rPr>
          <w:i/>
          <w:iCs/>
        </w:rPr>
        <w:t>Marine Ecology Progress Series</w:t>
      </w:r>
      <w:r w:rsidRPr="0027088D">
        <w:t>, </w:t>
      </w:r>
      <w:r w:rsidRPr="0027088D">
        <w:rPr>
          <w:i/>
          <w:iCs/>
        </w:rPr>
        <w:t>346</w:t>
      </w:r>
      <w:r w:rsidRPr="0027088D">
        <w:t>, 143-152.</w:t>
      </w:r>
    </w:p>
    <w:p w:rsidR="001437D7" w:rsidRPr="0027088D" w:rsidRDefault="001437D7" w:rsidP="00963E02">
      <w:pPr>
        <w:jc w:val="left"/>
        <w:rPr>
          <w:i/>
          <w:iCs/>
        </w:rPr>
      </w:pPr>
      <w:r w:rsidRPr="0027088D">
        <w:t>Medina, M., &amp; Sunagawa, S. (2013). Metagenomics of the Coral Holobiont. In</w:t>
      </w:r>
      <w:r w:rsidRPr="0027088D">
        <w:rPr>
          <w:i/>
          <w:iCs/>
        </w:rPr>
        <w:t xml:space="preserve">Encyclopedia of </w:t>
      </w:r>
    </w:p>
    <w:p w:rsidR="001437D7" w:rsidRPr="0027088D" w:rsidRDefault="001437D7" w:rsidP="00963E02">
      <w:pPr>
        <w:ind w:firstLine="720"/>
        <w:jc w:val="left"/>
      </w:pPr>
      <w:r w:rsidRPr="0027088D">
        <w:rPr>
          <w:i/>
          <w:iCs/>
        </w:rPr>
        <w:t>Metagenomics</w:t>
      </w:r>
      <w:r w:rsidRPr="0027088D">
        <w:t> (pp. 1-5). Springer New York.</w:t>
      </w:r>
    </w:p>
    <w:p w:rsidR="006430D6" w:rsidRPr="0027088D" w:rsidRDefault="006430D6" w:rsidP="00963E02">
      <w:pPr>
        <w:jc w:val="left"/>
      </w:pPr>
      <w:r w:rsidRPr="0027088D">
        <w:t xml:space="preserve">Nakajima, R., Tanaka, Y., Yoshida, T., Fujisawa, T., Nakayama, A., Fuchinoue, Y., ... &amp; Toda, T. (2014). </w:t>
      </w:r>
    </w:p>
    <w:p w:rsidR="006430D6" w:rsidRPr="0027088D" w:rsidRDefault="006430D6" w:rsidP="00963E02">
      <w:pPr>
        <w:ind w:firstLine="720"/>
        <w:jc w:val="left"/>
      </w:pPr>
      <w:r w:rsidRPr="0027088D">
        <w:t xml:space="preserve">High inorganic phosphate concentration in coral mucus and its utilization by heterotrophic </w:t>
      </w:r>
    </w:p>
    <w:p w:rsidR="006430D6" w:rsidRDefault="006430D6" w:rsidP="00963E02">
      <w:pPr>
        <w:ind w:firstLine="720"/>
        <w:jc w:val="left"/>
      </w:pPr>
      <w:r w:rsidRPr="0027088D">
        <w:t>bacteria in a Malaysian coral reef. </w:t>
      </w:r>
      <w:r w:rsidRPr="0027088D">
        <w:rPr>
          <w:i/>
          <w:iCs/>
        </w:rPr>
        <w:t>Marine Ecology</w:t>
      </w:r>
      <w:r w:rsidRPr="0027088D">
        <w:t>.</w:t>
      </w:r>
    </w:p>
    <w:p w:rsidR="008A0C33" w:rsidRDefault="008A0C33" w:rsidP="008A0C33">
      <w:pPr>
        <w:jc w:val="left"/>
      </w:pPr>
      <w:r w:rsidRPr="008A0C33">
        <w:t xml:space="preserve">Reshef, L., Koren, O., Loya, Y., Zilber‐Rosenberg, I., &amp; Rosenberg, E. (2006). The coral probiotic </w:t>
      </w:r>
    </w:p>
    <w:p w:rsidR="008A0C33" w:rsidRPr="0027088D" w:rsidRDefault="008A0C33" w:rsidP="008A0C33">
      <w:pPr>
        <w:ind w:firstLine="720"/>
        <w:jc w:val="left"/>
      </w:pPr>
      <w:r w:rsidRPr="008A0C33">
        <w:lastRenderedPageBreak/>
        <w:t>hypothesis. </w:t>
      </w:r>
      <w:r w:rsidRPr="008A0C33">
        <w:rPr>
          <w:i/>
          <w:iCs/>
        </w:rPr>
        <w:t>Environmental Microbiology</w:t>
      </w:r>
      <w:r w:rsidRPr="008A0C33">
        <w:t>, </w:t>
      </w:r>
      <w:r w:rsidRPr="008A0C33">
        <w:rPr>
          <w:i/>
          <w:iCs/>
        </w:rPr>
        <w:t>8</w:t>
      </w:r>
      <w:r w:rsidRPr="008A0C33">
        <w:t>(12), 2068-2073.</w:t>
      </w:r>
    </w:p>
    <w:p w:rsidR="00505DD8" w:rsidRPr="0027088D" w:rsidRDefault="00505DD8" w:rsidP="00963E02">
      <w:pPr>
        <w:jc w:val="left"/>
      </w:pPr>
      <w:r w:rsidRPr="0027088D">
        <w:t xml:space="preserve">Ritchie, K. B., &amp; Smith, G. W. (2004). Microbial communities of coral surface mucopolysaccharide layers. </w:t>
      </w:r>
    </w:p>
    <w:p w:rsidR="00505DD8" w:rsidRPr="0027088D" w:rsidRDefault="00505DD8" w:rsidP="00963E02">
      <w:pPr>
        <w:ind w:firstLine="720"/>
        <w:jc w:val="left"/>
      </w:pPr>
      <w:r w:rsidRPr="0027088D">
        <w:t>In </w:t>
      </w:r>
      <w:r w:rsidRPr="0027088D">
        <w:rPr>
          <w:i/>
          <w:iCs/>
        </w:rPr>
        <w:t>Coral Health and Disease</w:t>
      </w:r>
      <w:r w:rsidRPr="0027088D">
        <w:t> (pp. 259-264). Springer Berlin Heidelberg.</w:t>
      </w:r>
    </w:p>
    <w:p w:rsidR="003359C4" w:rsidRPr="0027088D" w:rsidRDefault="00E83A2E" w:rsidP="00963E02">
      <w:pPr>
        <w:jc w:val="left"/>
      </w:pPr>
      <w:r w:rsidRPr="0027088D">
        <w:t xml:space="preserve">Ritchie, K. B. (2006). Regulation of microbial populations by coral surface mucus and mucus-associated </w:t>
      </w:r>
    </w:p>
    <w:p w:rsidR="00E83A2E" w:rsidRDefault="00E83A2E" w:rsidP="00963E02">
      <w:pPr>
        <w:ind w:firstLine="720"/>
        <w:jc w:val="left"/>
      </w:pPr>
      <w:r w:rsidRPr="0027088D">
        <w:t>bacteria. </w:t>
      </w:r>
      <w:r w:rsidRPr="0027088D">
        <w:rPr>
          <w:i/>
          <w:iCs/>
        </w:rPr>
        <w:t>Marine Ecology Progress Series</w:t>
      </w:r>
      <w:r w:rsidRPr="0027088D">
        <w:t>, </w:t>
      </w:r>
      <w:r w:rsidRPr="0027088D">
        <w:rPr>
          <w:i/>
          <w:iCs/>
        </w:rPr>
        <w:t>322</w:t>
      </w:r>
      <w:r w:rsidRPr="0027088D">
        <w:t>, 1-14.</w:t>
      </w:r>
    </w:p>
    <w:p w:rsidR="009619B5" w:rsidRDefault="009619B5" w:rsidP="009619B5">
      <w:pPr>
        <w:jc w:val="left"/>
      </w:pPr>
      <w:r w:rsidRPr="009619B5">
        <w:t xml:space="preserve">Serrano, X., Baums, I. B., O'Reilly, K., Smith, T. B., Jones, R. J., Shearer, T. L., ... &amp; Baker, A. C. (2014). </w:t>
      </w:r>
    </w:p>
    <w:p w:rsidR="009619B5" w:rsidRDefault="009619B5" w:rsidP="009619B5">
      <w:pPr>
        <w:ind w:firstLine="720"/>
        <w:jc w:val="left"/>
      </w:pPr>
      <w:r w:rsidRPr="009619B5">
        <w:t xml:space="preserve">Geographic differences in vertical connectivity in the Caribbean coral Montastraea cavernosa </w:t>
      </w:r>
    </w:p>
    <w:p w:rsidR="009619B5" w:rsidRDefault="009619B5" w:rsidP="009619B5">
      <w:pPr>
        <w:ind w:firstLine="720"/>
        <w:jc w:val="left"/>
      </w:pPr>
      <w:r w:rsidRPr="009619B5">
        <w:t>despite high levels of horizontal connectivity at shallow depths. </w:t>
      </w:r>
      <w:r w:rsidRPr="009619B5">
        <w:rPr>
          <w:i/>
          <w:iCs/>
        </w:rPr>
        <w:t>Molecular ecology</w:t>
      </w:r>
      <w:r w:rsidRPr="009619B5">
        <w:t>, </w:t>
      </w:r>
      <w:r w:rsidRPr="009619B5">
        <w:rPr>
          <w:i/>
          <w:iCs/>
        </w:rPr>
        <w:t>23</w:t>
      </w:r>
      <w:r w:rsidRPr="009619B5">
        <w:t xml:space="preserve">(17), </w:t>
      </w:r>
    </w:p>
    <w:p w:rsidR="009619B5" w:rsidRPr="0027088D" w:rsidRDefault="009619B5" w:rsidP="009619B5">
      <w:pPr>
        <w:ind w:firstLine="720"/>
        <w:jc w:val="left"/>
      </w:pPr>
      <w:r w:rsidRPr="009619B5">
        <w:t>4226-4240.</w:t>
      </w:r>
    </w:p>
    <w:p w:rsidR="004C5E64" w:rsidRPr="0027088D" w:rsidRDefault="004C5E64" w:rsidP="00963E02">
      <w:pPr>
        <w:jc w:val="left"/>
      </w:pPr>
      <w:r w:rsidRPr="0027088D">
        <w:t xml:space="preserve">Shnit-Orland, M., &amp; Kushmaro, A. (2009). Coral mucus-associated bacteria: a possible first line of </w:t>
      </w:r>
    </w:p>
    <w:p w:rsidR="004C5E64" w:rsidRPr="0027088D" w:rsidRDefault="004C5E64" w:rsidP="00963E02">
      <w:pPr>
        <w:ind w:firstLine="720"/>
        <w:jc w:val="left"/>
      </w:pPr>
      <w:r w:rsidRPr="0027088D">
        <w:t>defense. </w:t>
      </w:r>
      <w:r w:rsidRPr="0027088D">
        <w:rPr>
          <w:i/>
          <w:iCs/>
        </w:rPr>
        <w:t>FEMS microbiology ecology</w:t>
      </w:r>
      <w:r w:rsidRPr="0027088D">
        <w:t>, </w:t>
      </w:r>
      <w:r w:rsidRPr="0027088D">
        <w:rPr>
          <w:i/>
          <w:iCs/>
        </w:rPr>
        <w:t>67</w:t>
      </w:r>
      <w:r w:rsidRPr="0027088D">
        <w:t>(3), 371-380.</w:t>
      </w:r>
    </w:p>
    <w:p w:rsidR="004649A5" w:rsidRPr="0027088D" w:rsidRDefault="004649A5" w:rsidP="004649A5">
      <w:pPr>
        <w:jc w:val="left"/>
      </w:pPr>
      <w:r w:rsidRPr="0027088D">
        <w:t>Sime, P. (2005). St. Lucie Estuary and Indian river lagoon conceptual ecological model. </w:t>
      </w:r>
      <w:r w:rsidRPr="0027088D">
        <w:rPr>
          <w:i/>
          <w:iCs/>
        </w:rPr>
        <w:t>Wetlands</w:t>
      </w:r>
      <w:r w:rsidRPr="0027088D">
        <w:t>, </w:t>
      </w:r>
      <w:r w:rsidRPr="0027088D">
        <w:rPr>
          <w:i/>
          <w:iCs/>
        </w:rPr>
        <w:t>25</w:t>
      </w:r>
      <w:r w:rsidRPr="0027088D">
        <w:t xml:space="preserve">(4), </w:t>
      </w:r>
    </w:p>
    <w:p w:rsidR="004649A5" w:rsidRPr="0027088D" w:rsidRDefault="004649A5" w:rsidP="004649A5">
      <w:pPr>
        <w:ind w:firstLine="720"/>
        <w:jc w:val="left"/>
      </w:pPr>
      <w:r w:rsidRPr="0027088D">
        <w:t>898-907.</w:t>
      </w:r>
    </w:p>
    <w:p w:rsidR="003359C4" w:rsidRPr="0027088D" w:rsidRDefault="00E83A2E" w:rsidP="00963E02">
      <w:pPr>
        <w:jc w:val="left"/>
      </w:pPr>
      <w:r w:rsidRPr="0027088D">
        <w:t xml:space="preserve">Tracy, A. M., Koren, O., Douglas, N., Weil, E. and Harvell, C. D. (2015), Persistent shifts in Caribbean coral </w:t>
      </w:r>
    </w:p>
    <w:p w:rsidR="003359C4" w:rsidRPr="0027088D" w:rsidRDefault="00E83A2E" w:rsidP="00963E02">
      <w:pPr>
        <w:ind w:firstLine="720"/>
        <w:jc w:val="left"/>
      </w:pPr>
      <w:r w:rsidRPr="0027088D">
        <w:t xml:space="preserve">microbiota are linked to the 2010 warm thermal anomaly. Environmental Microbiology Reports, </w:t>
      </w:r>
    </w:p>
    <w:p w:rsidR="00E83A2E" w:rsidRDefault="00E83A2E" w:rsidP="00963E02">
      <w:pPr>
        <w:ind w:firstLine="720"/>
        <w:jc w:val="left"/>
      </w:pPr>
      <w:r w:rsidRPr="0027088D">
        <w:t>7: 471–479.</w:t>
      </w:r>
    </w:p>
    <w:p w:rsidR="009C66D4" w:rsidRDefault="009C66D4" w:rsidP="009C66D4">
      <w:pPr>
        <w:jc w:val="left"/>
      </w:pPr>
      <w:r w:rsidRPr="009C66D4">
        <w:t xml:space="preserve">Voss, J. D., Mills, D. K., Myers, J. L., Remily, E. R., &amp; Richardson, L. L. (2007). Black band disease microbial </w:t>
      </w:r>
    </w:p>
    <w:p w:rsidR="009C66D4" w:rsidRDefault="009C66D4" w:rsidP="009C66D4">
      <w:pPr>
        <w:ind w:firstLine="720"/>
        <w:jc w:val="left"/>
      </w:pPr>
      <w:r w:rsidRPr="009C66D4">
        <w:t>community variation on corals in three regions of the wider Caribbean. </w:t>
      </w:r>
      <w:r w:rsidRPr="009C66D4">
        <w:rPr>
          <w:i/>
          <w:iCs/>
        </w:rPr>
        <w:t>Microbial ecology</w:t>
      </w:r>
      <w:r w:rsidRPr="009C66D4">
        <w:t>, </w:t>
      </w:r>
      <w:r w:rsidRPr="009C66D4">
        <w:rPr>
          <w:i/>
          <w:iCs/>
        </w:rPr>
        <w:t>54</w:t>
      </w:r>
      <w:r w:rsidRPr="009C66D4">
        <w:t xml:space="preserve">(4), </w:t>
      </w:r>
    </w:p>
    <w:p w:rsidR="009C66D4" w:rsidRDefault="009C66D4" w:rsidP="009C66D4">
      <w:pPr>
        <w:ind w:firstLine="720"/>
        <w:jc w:val="left"/>
      </w:pPr>
      <w:r w:rsidRPr="009C66D4">
        <w:t>730-739.</w:t>
      </w:r>
    </w:p>
    <w:p w:rsidR="003359C4" w:rsidRPr="0027088D" w:rsidRDefault="00E83A2E" w:rsidP="00963E02">
      <w:pPr>
        <w:jc w:val="left"/>
      </w:pPr>
      <w:r w:rsidRPr="0027088D">
        <w:t xml:space="preserve">Wear, S. L., &amp; Thurber, R. V. (2015). Sewage pollution: mitigation is key for coral reef </w:t>
      </w:r>
    </w:p>
    <w:p w:rsidR="00E83A2E" w:rsidRPr="0027088D" w:rsidRDefault="00E83A2E" w:rsidP="00963E02">
      <w:pPr>
        <w:ind w:firstLine="720"/>
        <w:jc w:val="left"/>
      </w:pPr>
      <w:r w:rsidRPr="0027088D">
        <w:t>stewardship. </w:t>
      </w:r>
      <w:r w:rsidRPr="0027088D">
        <w:rPr>
          <w:i/>
          <w:iCs/>
        </w:rPr>
        <w:t>Annals of the New York Academy of Sciences</w:t>
      </w:r>
      <w:r w:rsidRPr="0027088D">
        <w:t>.</w:t>
      </w:r>
    </w:p>
    <w:p w:rsidR="00CF5311" w:rsidRPr="0027088D" w:rsidRDefault="00CF5311" w:rsidP="00963E02">
      <w:pPr>
        <w:jc w:val="left"/>
      </w:pPr>
    </w:p>
    <w:sectPr w:rsidR="00CF5311" w:rsidRPr="002708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F06" w:rsidRDefault="00A31F06" w:rsidP="00D721A9">
      <w:r>
        <w:separator/>
      </w:r>
    </w:p>
  </w:endnote>
  <w:endnote w:type="continuationSeparator" w:id="0">
    <w:p w:rsidR="00A31F06" w:rsidRDefault="00A31F06" w:rsidP="00D72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F06" w:rsidRDefault="00A31F06" w:rsidP="00D721A9">
      <w:r>
        <w:separator/>
      </w:r>
    </w:p>
  </w:footnote>
  <w:footnote w:type="continuationSeparator" w:id="0">
    <w:p w:rsidR="00A31F06" w:rsidRDefault="00A31F06" w:rsidP="00D721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ADA"/>
    <w:rsid w:val="00000B85"/>
    <w:rsid w:val="000063A6"/>
    <w:rsid w:val="00013BBA"/>
    <w:rsid w:val="0002366B"/>
    <w:rsid w:val="000245CE"/>
    <w:rsid w:val="00026643"/>
    <w:rsid w:val="0002742F"/>
    <w:rsid w:val="00027931"/>
    <w:rsid w:val="00034464"/>
    <w:rsid w:val="00034810"/>
    <w:rsid w:val="00036400"/>
    <w:rsid w:val="00037CAD"/>
    <w:rsid w:val="00041731"/>
    <w:rsid w:val="000470B8"/>
    <w:rsid w:val="00051720"/>
    <w:rsid w:val="00056E37"/>
    <w:rsid w:val="000570F6"/>
    <w:rsid w:val="000606CE"/>
    <w:rsid w:val="00063A7C"/>
    <w:rsid w:val="00067D8A"/>
    <w:rsid w:val="00070287"/>
    <w:rsid w:val="00070499"/>
    <w:rsid w:val="00072F6E"/>
    <w:rsid w:val="0007355D"/>
    <w:rsid w:val="00076193"/>
    <w:rsid w:val="00081223"/>
    <w:rsid w:val="0008176E"/>
    <w:rsid w:val="00082C7F"/>
    <w:rsid w:val="000868CF"/>
    <w:rsid w:val="00086E1B"/>
    <w:rsid w:val="0008704C"/>
    <w:rsid w:val="0008707F"/>
    <w:rsid w:val="00087A58"/>
    <w:rsid w:val="00093AA7"/>
    <w:rsid w:val="0009704B"/>
    <w:rsid w:val="000A1C2E"/>
    <w:rsid w:val="000A1DAA"/>
    <w:rsid w:val="000A462E"/>
    <w:rsid w:val="000A568E"/>
    <w:rsid w:val="000A56BD"/>
    <w:rsid w:val="000A6A2A"/>
    <w:rsid w:val="000B0886"/>
    <w:rsid w:val="000B0CAD"/>
    <w:rsid w:val="000B4B4C"/>
    <w:rsid w:val="000B592A"/>
    <w:rsid w:val="000C158E"/>
    <w:rsid w:val="000C5BFE"/>
    <w:rsid w:val="000C5CA0"/>
    <w:rsid w:val="000D2C95"/>
    <w:rsid w:val="000D3A31"/>
    <w:rsid w:val="000D5EFB"/>
    <w:rsid w:val="000E07A2"/>
    <w:rsid w:val="000E171D"/>
    <w:rsid w:val="000E4A2E"/>
    <w:rsid w:val="000E771D"/>
    <w:rsid w:val="000F082E"/>
    <w:rsid w:val="000F22AB"/>
    <w:rsid w:val="000F594A"/>
    <w:rsid w:val="000F7A56"/>
    <w:rsid w:val="00100997"/>
    <w:rsid w:val="00103967"/>
    <w:rsid w:val="00106245"/>
    <w:rsid w:val="00110295"/>
    <w:rsid w:val="00112DA1"/>
    <w:rsid w:val="0011423E"/>
    <w:rsid w:val="00116527"/>
    <w:rsid w:val="00116832"/>
    <w:rsid w:val="00117556"/>
    <w:rsid w:val="00117D9F"/>
    <w:rsid w:val="00123C02"/>
    <w:rsid w:val="0012727C"/>
    <w:rsid w:val="00132064"/>
    <w:rsid w:val="001333CA"/>
    <w:rsid w:val="00134164"/>
    <w:rsid w:val="001411FF"/>
    <w:rsid w:val="001437D7"/>
    <w:rsid w:val="0014382B"/>
    <w:rsid w:val="001440F1"/>
    <w:rsid w:val="00151CAB"/>
    <w:rsid w:val="00153FAF"/>
    <w:rsid w:val="001541E5"/>
    <w:rsid w:val="00154FE9"/>
    <w:rsid w:val="0015526B"/>
    <w:rsid w:val="001561EF"/>
    <w:rsid w:val="001568D7"/>
    <w:rsid w:val="00161330"/>
    <w:rsid w:val="001615F8"/>
    <w:rsid w:val="00165A20"/>
    <w:rsid w:val="001706F2"/>
    <w:rsid w:val="00170B19"/>
    <w:rsid w:val="001745FB"/>
    <w:rsid w:val="00176894"/>
    <w:rsid w:val="00177128"/>
    <w:rsid w:val="0018127D"/>
    <w:rsid w:val="00184BAE"/>
    <w:rsid w:val="001855F4"/>
    <w:rsid w:val="00186116"/>
    <w:rsid w:val="00187DA0"/>
    <w:rsid w:val="001935EE"/>
    <w:rsid w:val="001A0B36"/>
    <w:rsid w:val="001A1187"/>
    <w:rsid w:val="001B08B9"/>
    <w:rsid w:val="001B0DEB"/>
    <w:rsid w:val="001B534A"/>
    <w:rsid w:val="001B5ABA"/>
    <w:rsid w:val="001B75E2"/>
    <w:rsid w:val="001C00E4"/>
    <w:rsid w:val="001C0BA8"/>
    <w:rsid w:val="001C17A4"/>
    <w:rsid w:val="001C192A"/>
    <w:rsid w:val="001C40E1"/>
    <w:rsid w:val="001C4AF7"/>
    <w:rsid w:val="001C5683"/>
    <w:rsid w:val="001C5CF0"/>
    <w:rsid w:val="001C7442"/>
    <w:rsid w:val="001D0BE7"/>
    <w:rsid w:val="001D124F"/>
    <w:rsid w:val="001D7A68"/>
    <w:rsid w:val="001E126D"/>
    <w:rsid w:val="001E20E1"/>
    <w:rsid w:val="001E5BD3"/>
    <w:rsid w:val="001E6F2A"/>
    <w:rsid w:val="001F20C8"/>
    <w:rsid w:val="001F3FDD"/>
    <w:rsid w:val="001F5393"/>
    <w:rsid w:val="001F5849"/>
    <w:rsid w:val="001F702D"/>
    <w:rsid w:val="00202A90"/>
    <w:rsid w:val="00202C50"/>
    <w:rsid w:val="00202FD7"/>
    <w:rsid w:val="00203B41"/>
    <w:rsid w:val="00203F61"/>
    <w:rsid w:val="0021233E"/>
    <w:rsid w:val="00213B7C"/>
    <w:rsid w:val="00213B97"/>
    <w:rsid w:val="00216EBD"/>
    <w:rsid w:val="00217670"/>
    <w:rsid w:val="0022031C"/>
    <w:rsid w:val="0022310E"/>
    <w:rsid w:val="00223593"/>
    <w:rsid w:val="0022636F"/>
    <w:rsid w:val="00233E29"/>
    <w:rsid w:val="002371F6"/>
    <w:rsid w:val="00241755"/>
    <w:rsid w:val="00242881"/>
    <w:rsid w:val="00242B78"/>
    <w:rsid w:val="00243591"/>
    <w:rsid w:val="00250E87"/>
    <w:rsid w:val="0025347D"/>
    <w:rsid w:val="00254F61"/>
    <w:rsid w:val="002561DB"/>
    <w:rsid w:val="00260F7A"/>
    <w:rsid w:val="00266475"/>
    <w:rsid w:val="0027088D"/>
    <w:rsid w:val="00270983"/>
    <w:rsid w:val="002721C0"/>
    <w:rsid w:val="00273088"/>
    <w:rsid w:val="002736E2"/>
    <w:rsid w:val="0027467A"/>
    <w:rsid w:val="002751BD"/>
    <w:rsid w:val="0027592D"/>
    <w:rsid w:val="00275E22"/>
    <w:rsid w:val="00281980"/>
    <w:rsid w:val="00286629"/>
    <w:rsid w:val="00292F19"/>
    <w:rsid w:val="002945E0"/>
    <w:rsid w:val="00294B29"/>
    <w:rsid w:val="002955AC"/>
    <w:rsid w:val="00295C57"/>
    <w:rsid w:val="00296DE8"/>
    <w:rsid w:val="002978AF"/>
    <w:rsid w:val="002A1E84"/>
    <w:rsid w:val="002A2A99"/>
    <w:rsid w:val="002A32E8"/>
    <w:rsid w:val="002A4B3D"/>
    <w:rsid w:val="002A68FD"/>
    <w:rsid w:val="002B06F8"/>
    <w:rsid w:val="002B37CF"/>
    <w:rsid w:val="002B5003"/>
    <w:rsid w:val="002B7AA1"/>
    <w:rsid w:val="002C04EC"/>
    <w:rsid w:val="002C076F"/>
    <w:rsid w:val="002C25AD"/>
    <w:rsid w:val="002C402F"/>
    <w:rsid w:val="002C6253"/>
    <w:rsid w:val="002C68A6"/>
    <w:rsid w:val="002D1E31"/>
    <w:rsid w:val="002D4624"/>
    <w:rsid w:val="002D7A9C"/>
    <w:rsid w:val="002E15F4"/>
    <w:rsid w:val="002E3876"/>
    <w:rsid w:val="002E45D3"/>
    <w:rsid w:val="002E51F1"/>
    <w:rsid w:val="002F0039"/>
    <w:rsid w:val="002F6491"/>
    <w:rsid w:val="002F75B6"/>
    <w:rsid w:val="00302070"/>
    <w:rsid w:val="0030662D"/>
    <w:rsid w:val="00310300"/>
    <w:rsid w:val="00312232"/>
    <w:rsid w:val="00317CCB"/>
    <w:rsid w:val="00323D14"/>
    <w:rsid w:val="00324208"/>
    <w:rsid w:val="00325F0B"/>
    <w:rsid w:val="003359C4"/>
    <w:rsid w:val="0033627B"/>
    <w:rsid w:val="003379BF"/>
    <w:rsid w:val="00337E0F"/>
    <w:rsid w:val="00352AEA"/>
    <w:rsid w:val="00354054"/>
    <w:rsid w:val="00355884"/>
    <w:rsid w:val="003607D0"/>
    <w:rsid w:val="003612CD"/>
    <w:rsid w:val="00362A58"/>
    <w:rsid w:val="00363E34"/>
    <w:rsid w:val="00365A56"/>
    <w:rsid w:val="00366975"/>
    <w:rsid w:val="003719FF"/>
    <w:rsid w:val="003750B2"/>
    <w:rsid w:val="003771C4"/>
    <w:rsid w:val="00377EF5"/>
    <w:rsid w:val="003848CB"/>
    <w:rsid w:val="00387267"/>
    <w:rsid w:val="00387C27"/>
    <w:rsid w:val="00394799"/>
    <w:rsid w:val="00395F42"/>
    <w:rsid w:val="00396FE8"/>
    <w:rsid w:val="003A0E43"/>
    <w:rsid w:val="003A2EE6"/>
    <w:rsid w:val="003B219F"/>
    <w:rsid w:val="003B47F0"/>
    <w:rsid w:val="003B4BBB"/>
    <w:rsid w:val="003B5114"/>
    <w:rsid w:val="003B5EE1"/>
    <w:rsid w:val="003B5FF5"/>
    <w:rsid w:val="003C0BC2"/>
    <w:rsid w:val="003C2F7B"/>
    <w:rsid w:val="003C4125"/>
    <w:rsid w:val="003C7300"/>
    <w:rsid w:val="003C7418"/>
    <w:rsid w:val="003C7A2E"/>
    <w:rsid w:val="003D3315"/>
    <w:rsid w:val="003D53B0"/>
    <w:rsid w:val="003D6060"/>
    <w:rsid w:val="003E30F4"/>
    <w:rsid w:val="003F1567"/>
    <w:rsid w:val="003F335C"/>
    <w:rsid w:val="003F3B07"/>
    <w:rsid w:val="0040337B"/>
    <w:rsid w:val="00404CE8"/>
    <w:rsid w:val="00405419"/>
    <w:rsid w:val="004067B6"/>
    <w:rsid w:val="004073FE"/>
    <w:rsid w:val="0041274F"/>
    <w:rsid w:val="00412AA7"/>
    <w:rsid w:val="00413D46"/>
    <w:rsid w:val="00415924"/>
    <w:rsid w:val="00417C72"/>
    <w:rsid w:val="00421009"/>
    <w:rsid w:val="00421C43"/>
    <w:rsid w:val="00424814"/>
    <w:rsid w:val="00431A1C"/>
    <w:rsid w:val="00434617"/>
    <w:rsid w:val="00434AB8"/>
    <w:rsid w:val="0043616C"/>
    <w:rsid w:val="004363EC"/>
    <w:rsid w:val="00436DF6"/>
    <w:rsid w:val="0044069D"/>
    <w:rsid w:val="004425C1"/>
    <w:rsid w:val="004439AE"/>
    <w:rsid w:val="00444D46"/>
    <w:rsid w:val="00445473"/>
    <w:rsid w:val="004474A8"/>
    <w:rsid w:val="00450729"/>
    <w:rsid w:val="00455DF1"/>
    <w:rsid w:val="004562B3"/>
    <w:rsid w:val="00457149"/>
    <w:rsid w:val="00457698"/>
    <w:rsid w:val="00463274"/>
    <w:rsid w:val="0046421A"/>
    <w:rsid w:val="004649A5"/>
    <w:rsid w:val="00465825"/>
    <w:rsid w:val="00465CC5"/>
    <w:rsid w:val="00465DB9"/>
    <w:rsid w:val="0047369C"/>
    <w:rsid w:val="00473EBD"/>
    <w:rsid w:val="0047515F"/>
    <w:rsid w:val="00475E06"/>
    <w:rsid w:val="00476DA7"/>
    <w:rsid w:val="0048108A"/>
    <w:rsid w:val="00481A4A"/>
    <w:rsid w:val="00483ABB"/>
    <w:rsid w:val="00487C8F"/>
    <w:rsid w:val="004969AE"/>
    <w:rsid w:val="00496DA7"/>
    <w:rsid w:val="004A07CC"/>
    <w:rsid w:val="004A2CE5"/>
    <w:rsid w:val="004A57B0"/>
    <w:rsid w:val="004A587A"/>
    <w:rsid w:val="004B50A5"/>
    <w:rsid w:val="004C09A0"/>
    <w:rsid w:val="004C1FB1"/>
    <w:rsid w:val="004C2B0B"/>
    <w:rsid w:val="004C5E64"/>
    <w:rsid w:val="004D463D"/>
    <w:rsid w:val="004E1895"/>
    <w:rsid w:val="004E3185"/>
    <w:rsid w:val="004E342D"/>
    <w:rsid w:val="004E3470"/>
    <w:rsid w:val="004F003D"/>
    <w:rsid w:val="004F14DD"/>
    <w:rsid w:val="004F1B15"/>
    <w:rsid w:val="004F3C43"/>
    <w:rsid w:val="004F4BE8"/>
    <w:rsid w:val="004F58DF"/>
    <w:rsid w:val="004F5D7B"/>
    <w:rsid w:val="0050001D"/>
    <w:rsid w:val="00500A4F"/>
    <w:rsid w:val="0050186D"/>
    <w:rsid w:val="005039D1"/>
    <w:rsid w:val="00504A8C"/>
    <w:rsid w:val="00505DD8"/>
    <w:rsid w:val="005062F5"/>
    <w:rsid w:val="0051090B"/>
    <w:rsid w:val="00513DCD"/>
    <w:rsid w:val="00517A6C"/>
    <w:rsid w:val="00517C18"/>
    <w:rsid w:val="00524B1A"/>
    <w:rsid w:val="00526F14"/>
    <w:rsid w:val="00527BEF"/>
    <w:rsid w:val="00530100"/>
    <w:rsid w:val="0053190D"/>
    <w:rsid w:val="00531BF2"/>
    <w:rsid w:val="00540E8F"/>
    <w:rsid w:val="00546B50"/>
    <w:rsid w:val="005472AF"/>
    <w:rsid w:val="00552C4E"/>
    <w:rsid w:val="00553936"/>
    <w:rsid w:val="00556189"/>
    <w:rsid w:val="005604B6"/>
    <w:rsid w:val="005644A9"/>
    <w:rsid w:val="005658FC"/>
    <w:rsid w:val="0057511D"/>
    <w:rsid w:val="0057693D"/>
    <w:rsid w:val="0057769C"/>
    <w:rsid w:val="005835FE"/>
    <w:rsid w:val="00583930"/>
    <w:rsid w:val="00585008"/>
    <w:rsid w:val="00585B14"/>
    <w:rsid w:val="00595208"/>
    <w:rsid w:val="005A0671"/>
    <w:rsid w:val="005A36E7"/>
    <w:rsid w:val="005A3896"/>
    <w:rsid w:val="005B1527"/>
    <w:rsid w:val="005B2C1E"/>
    <w:rsid w:val="005B77C9"/>
    <w:rsid w:val="005C4336"/>
    <w:rsid w:val="005C43FA"/>
    <w:rsid w:val="005C51E0"/>
    <w:rsid w:val="005D26D3"/>
    <w:rsid w:val="005D434C"/>
    <w:rsid w:val="005D4F9A"/>
    <w:rsid w:val="005D5EFC"/>
    <w:rsid w:val="005E1938"/>
    <w:rsid w:val="005E4105"/>
    <w:rsid w:val="005E5753"/>
    <w:rsid w:val="005F4C0C"/>
    <w:rsid w:val="006040B8"/>
    <w:rsid w:val="006047A8"/>
    <w:rsid w:val="00604BA0"/>
    <w:rsid w:val="0061119E"/>
    <w:rsid w:val="00612090"/>
    <w:rsid w:val="00613838"/>
    <w:rsid w:val="00613993"/>
    <w:rsid w:val="00615F90"/>
    <w:rsid w:val="006165BE"/>
    <w:rsid w:val="00617104"/>
    <w:rsid w:val="00622369"/>
    <w:rsid w:val="0062238E"/>
    <w:rsid w:val="00623054"/>
    <w:rsid w:val="00624389"/>
    <w:rsid w:val="0062489A"/>
    <w:rsid w:val="006250C1"/>
    <w:rsid w:val="00627C70"/>
    <w:rsid w:val="00631699"/>
    <w:rsid w:val="00635D8F"/>
    <w:rsid w:val="00636E51"/>
    <w:rsid w:val="006377A5"/>
    <w:rsid w:val="006379F7"/>
    <w:rsid w:val="00637F9C"/>
    <w:rsid w:val="006430D6"/>
    <w:rsid w:val="0064658D"/>
    <w:rsid w:val="006652EB"/>
    <w:rsid w:val="0066622A"/>
    <w:rsid w:val="00671079"/>
    <w:rsid w:val="00671D86"/>
    <w:rsid w:val="00671DBE"/>
    <w:rsid w:val="0067582B"/>
    <w:rsid w:val="00682A7A"/>
    <w:rsid w:val="006833B3"/>
    <w:rsid w:val="006871A4"/>
    <w:rsid w:val="00690928"/>
    <w:rsid w:val="00690EE6"/>
    <w:rsid w:val="00693E58"/>
    <w:rsid w:val="0069426F"/>
    <w:rsid w:val="006945F2"/>
    <w:rsid w:val="00697BC8"/>
    <w:rsid w:val="006A0600"/>
    <w:rsid w:val="006A0CA5"/>
    <w:rsid w:val="006A2DBE"/>
    <w:rsid w:val="006A650C"/>
    <w:rsid w:val="006A70B3"/>
    <w:rsid w:val="006B0366"/>
    <w:rsid w:val="006B07D4"/>
    <w:rsid w:val="006B14C1"/>
    <w:rsid w:val="006B5340"/>
    <w:rsid w:val="006B6963"/>
    <w:rsid w:val="006B7108"/>
    <w:rsid w:val="006C0DCA"/>
    <w:rsid w:val="006C4154"/>
    <w:rsid w:val="006C5466"/>
    <w:rsid w:val="006C5FA5"/>
    <w:rsid w:val="006C7506"/>
    <w:rsid w:val="006C78BC"/>
    <w:rsid w:val="006D111F"/>
    <w:rsid w:val="006D16B0"/>
    <w:rsid w:val="006E3504"/>
    <w:rsid w:val="006E5099"/>
    <w:rsid w:val="006E523E"/>
    <w:rsid w:val="006E7DCE"/>
    <w:rsid w:val="006F0F9A"/>
    <w:rsid w:val="006F3905"/>
    <w:rsid w:val="006F3C84"/>
    <w:rsid w:val="006F4F9B"/>
    <w:rsid w:val="006F525F"/>
    <w:rsid w:val="006F6027"/>
    <w:rsid w:val="00706011"/>
    <w:rsid w:val="00706C28"/>
    <w:rsid w:val="007071FF"/>
    <w:rsid w:val="0070768F"/>
    <w:rsid w:val="00712D79"/>
    <w:rsid w:val="007133DE"/>
    <w:rsid w:val="00713FDD"/>
    <w:rsid w:val="00714635"/>
    <w:rsid w:val="00717A9C"/>
    <w:rsid w:val="00721964"/>
    <w:rsid w:val="0072309D"/>
    <w:rsid w:val="00726138"/>
    <w:rsid w:val="007268B3"/>
    <w:rsid w:val="00726DD0"/>
    <w:rsid w:val="00726E07"/>
    <w:rsid w:val="007303CB"/>
    <w:rsid w:val="007305A9"/>
    <w:rsid w:val="0073155D"/>
    <w:rsid w:val="00736699"/>
    <w:rsid w:val="00737EE4"/>
    <w:rsid w:val="007413B8"/>
    <w:rsid w:val="00744C81"/>
    <w:rsid w:val="00751AC2"/>
    <w:rsid w:val="0075691A"/>
    <w:rsid w:val="00765C7E"/>
    <w:rsid w:val="00770125"/>
    <w:rsid w:val="0077136E"/>
    <w:rsid w:val="00771690"/>
    <w:rsid w:val="00772546"/>
    <w:rsid w:val="00774836"/>
    <w:rsid w:val="00776444"/>
    <w:rsid w:val="00780B74"/>
    <w:rsid w:val="0078207D"/>
    <w:rsid w:val="00786A57"/>
    <w:rsid w:val="00787474"/>
    <w:rsid w:val="007910A0"/>
    <w:rsid w:val="00792C6C"/>
    <w:rsid w:val="00793E28"/>
    <w:rsid w:val="00793EBE"/>
    <w:rsid w:val="007B0868"/>
    <w:rsid w:val="007B373A"/>
    <w:rsid w:val="007B5275"/>
    <w:rsid w:val="007B6478"/>
    <w:rsid w:val="007C4928"/>
    <w:rsid w:val="007C5ABF"/>
    <w:rsid w:val="007C5FF7"/>
    <w:rsid w:val="007C656A"/>
    <w:rsid w:val="007C7EBA"/>
    <w:rsid w:val="007D0655"/>
    <w:rsid w:val="007D22F8"/>
    <w:rsid w:val="007D34E9"/>
    <w:rsid w:val="007D383C"/>
    <w:rsid w:val="007D506F"/>
    <w:rsid w:val="007E36AC"/>
    <w:rsid w:val="007E6589"/>
    <w:rsid w:val="007E6BF7"/>
    <w:rsid w:val="007E7702"/>
    <w:rsid w:val="007F0404"/>
    <w:rsid w:val="007F13A4"/>
    <w:rsid w:val="007F251E"/>
    <w:rsid w:val="007F35CB"/>
    <w:rsid w:val="007F499D"/>
    <w:rsid w:val="007F5ED6"/>
    <w:rsid w:val="007F6567"/>
    <w:rsid w:val="0080001F"/>
    <w:rsid w:val="008011A9"/>
    <w:rsid w:val="008012D5"/>
    <w:rsid w:val="0080192B"/>
    <w:rsid w:val="00801999"/>
    <w:rsid w:val="00804597"/>
    <w:rsid w:val="008061F4"/>
    <w:rsid w:val="00806F64"/>
    <w:rsid w:val="00807E56"/>
    <w:rsid w:val="00811E59"/>
    <w:rsid w:val="00814734"/>
    <w:rsid w:val="00814B87"/>
    <w:rsid w:val="00815367"/>
    <w:rsid w:val="00816A22"/>
    <w:rsid w:val="008176E0"/>
    <w:rsid w:val="008234EB"/>
    <w:rsid w:val="00830C0D"/>
    <w:rsid w:val="008319BF"/>
    <w:rsid w:val="00831E75"/>
    <w:rsid w:val="00842091"/>
    <w:rsid w:val="008437CE"/>
    <w:rsid w:val="00847626"/>
    <w:rsid w:val="00850EED"/>
    <w:rsid w:val="008524B4"/>
    <w:rsid w:val="00855410"/>
    <w:rsid w:val="0085618E"/>
    <w:rsid w:val="00857D4B"/>
    <w:rsid w:val="00861F03"/>
    <w:rsid w:val="00862392"/>
    <w:rsid w:val="00863B2E"/>
    <w:rsid w:val="00864A6E"/>
    <w:rsid w:val="0086642F"/>
    <w:rsid w:val="00866569"/>
    <w:rsid w:val="00874F4C"/>
    <w:rsid w:val="00893030"/>
    <w:rsid w:val="0089534D"/>
    <w:rsid w:val="00896E44"/>
    <w:rsid w:val="008A0C33"/>
    <w:rsid w:val="008A2A23"/>
    <w:rsid w:val="008A3432"/>
    <w:rsid w:val="008A54BB"/>
    <w:rsid w:val="008A6B4D"/>
    <w:rsid w:val="008B51A1"/>
    <w:rsid w:val="008B74A7"/>
    <w:rsid w:val="008B7DD2"/>
    <w:rsid w:val="008C06DF"/>
    <w:rsid w:val="008C189E"/>
    <w:rsid w:val="008C7521"/>
    <w:rsid w:val="008D036E"/>
    <w:rsid w:val="008D2F32"/>
    <w:rsid w:val="008D3F05"/>
    <w:rsid w:val="008D4B9F"/>
    <w:rsid w:val="008D7794"/>
    <w:rsid w:val="008D7E6C"/>
    <w:rsid w:val="008E2952"/>
    <w:rsid w:val="008E3CD9"/>
    <w:rsid w:val="008E5A48"/>
    <w:rsid w:val="008E6B99"/>
    <w:rsid w:val="008F10B5"/>
    <w:rsid w:val="008F1C71"/>
    <w:rsid w:val="008F521D"/>
    <w:rsid w:val="008F6768"/>
    <w:rsid w:val="008F6CF8"/>
    <w:rsid w:val="00903342"/>
    <w:rsid w:val="009056D8"/>
    <w:rsid w:val="00905CDF"/>
    <w:rsid w:val="00907E75"/>
    <w:rsid w:val="0091091A"/>
    <w:rsid w:val="00912C6D"/>
    <w:rsid w:val="009233AA"/>
    <w:rsid w:val="009238EE"/>
    <w:rsid w:val="0093774C"/>
    <w:rsid w:val="00942342"/>
    <w:rsid w:val="00943038"/>
    <w:rsid w:val="00945404"/>
    <w:rsid w:val="00954DD0"/>
    <w:rsid w:val="0095549B"/>
    <w:rsid w:val="009619B5"/>
    <w:rsid w:val="00961A7F"/>
    <w:rsid w:val="00963139"/>
    <w:rsid w:val="00963272"/>
    <w:rsid w:val="00963E02"/>
    <w:rsid w:val="00967FFA"/>
    <w:rsid w:val="009709DF"/>
    <w:rsid w:val="009761A6"/>
    <w:rsid w:val="00984185"/>
    <w:rsid w:val="0098526D"/>
    <w:rsid w:val="00986FC6"/>
    <w:rsid w:val="00991D42"/>
    <w:rsid w:val="009930A7"/>
    <w:rsid w:val="009950C3"/>
    <w:rsid w:val="00995337"/>
    <w:rsid w:val="00995A88"/>
    <w:rsid w:val="009A105D"/>
    <w:rsid w:val="009A5184"/>
    <w:rsid w:val="009A584B"/>
    <w:rsid w:val="009B06B0"/>
    <w:rsid w:val="009B115E"/>
    <w:rsid w:val="009B7951"/>
    <w:rsid w:val="009C39D6"/>
    <w:rsid w:val="009C5249"/>
    <w:rsid w:val="009C5819"/>
    <w:rsid w:val="009C66D4"/>
    <w:rsid w:val="009C722B"/>
    <w:rsid w:val="009C789F"/>
    <w:rsid w:val="009D0827"/>
    <w:rsid w:val="009D4697"/>
    <w:rsid w:val="009E0A14"/>
    <w:rsid w:val="009E2999"/>
    <w:rsid w:val="009E3242"/>
    <w:rsid w:val="009E4A83"/>
    <w:rsid w:val="009F027C"/>
    <w:rsid w:val="009F21AC"/>
    <w:rsid w:val="009F2E44"/>
    <w:rsid w:val="009F58F6"/>
    <w:rsid w:val="009F59F4"/>
    <w:rsid w:val="00A010DD"/>
    <w:rsid w:val="00A03573"/>
    <w:rsid w:val="00A03F3C"/>
    <w:rsid w:val="00A06F96"/>
    <w:rsid w:val="00A075EE"/>
    <w:rsid w:val="00A11047"/>
    <w:rsid w:val="00A129DF"/>
    <w:rsid w:val="00A14568"/>
    <w:rsid w:val="00A154E6"/>
    <w:rsid w:val="00A2299F"/>
    <w:rsid w:val="00A25E0C"/>
    <w:rsid w:val="00A27127"/>
    <w:rsid w:val="00A30B8E"/>
    <w:rsid w:val="00A31F06"/>
    <w:rsid w:val="00A32A48"/>
    <w:rsid w:val="00A34502"/>
    <w:rsid w:val="00A3563E"/>
    <w:rsid w:val="00A3574A"/>
    <w:rsid w:val="00A36209"/>
    <w:rsid w:val="00A375C9"/>
    <w:rsid w:val="00A40FAB"/>
    <w:rsid w:val="00A423C9"/>
    <w:rsid w:val="00A43180"/>
    <w:rsid w:val="00A46220"/>
    <w:rsid w:val="00A5260C"/>
    <w:rsid w:val="00A52A8B"/>
    <w:rsid w:val="00A571D2"/>
    <w:rsid w:val="00A60D4B"/>
    <w:rsid w:val="00A6365E"/>
    <w:rsid w:val="00A64AFB"/>
    <w:rsid w:val="00A65E84"/>
    <w:rsid w:val="00A66835"/>
    <w:rsid w:val="00A67331"/>
    <w:rsid w:val="00A67955"/>
    <w:rsid w:val="00A70572"/>
    <w:rsid w:val="00A759B0"/>
    <w:rsid w:val="00A77675"/>
    <w:rsid w:val="00A7774C"/>
    <w:rsid w:val="00A80252"/>
    <w:rsid w:val="00A80B80"/>
    <w:rsid w:val="00A80C16"/>
    <w:rsid w:val="00A86775"/>
    <w:rsid w:val="00A868B5"/>
    <w:rsid w:val="00A872C0"/>
    <w:rsid w:val="00A872DC"/>
    <w:rsid w:val="00A94D7E"/>
    <w:rsid w:val="00A95501"/>
    <w:rsid w:val="00A966A6"/>
    <w:rsid w:val="00AA2BE5"/>
    <w:rsid w:val="00AA39DB"/>
    <w:rsid w:val="00AA47AB"/>
    <w:rsid w:val="00AB0143"/>
    <w:rsid w:val="00AB091C"/>
    <w:rsid w:val="00AB5456"/>
    <w:rsid w:val="00AB7696"/>
    <w:rsid w:val="00AB7988"/>
    <w:rsid w:val="00AC06DE"/>
    <w:rsid w:val="00AC2C1F"/>
    <w:rsid w:val="00AC3456"/>
    <w:rsid w:val="00AC4631"/>
    <w:rsid w:val="00AC53CB"/>
    <w:rsid w:val="00AD430B"/>
    <w:rsid w:val="00AD55D8"/>
    <w:rsid w:val="00AE2076"/>
    <w:rsid w:val="00AE6AE5"/>
    <w:rsid w:val="00AF286B"/>
    <w:rsid w:val="00AF540B"/>
    <w:rsid w:val="00AF70A6"/>
    <w:rsid w:val="00B037C2"/>
    <w:rsid w:val="00B06B1B"/>
    <w:rsid w:val="00B07394"/>
    <w:rsid w:val="00B07753"/>
    <w:rsid w:val="00B14C35"/>
    <w:rsid w:val="00B15345"/>
    <w:rsid w:val="00B22253"/>
    <w:rsid w:val="00B245F9"/>
    <w:rsid w:val="00B24A31"/>
    <w:rsid w:val="00B25968"/>
    <w:rsid w:val="00B27532"/>
    <w:rsid w:val="00B304FB"/>
    <w:rsid w:val="00B309FE"/>
    <w:rsid w:val="00B34D31"/>
    <w:rsid w:val="00B37F93"/>
    <w:rsid w:val="00B4013A"/>
    <w:rsid w:val="00B40B58"/>
    <w:rsid w:val="00B41AE1"/>
    <w:rsid w:val="00B43503"/>
    <w:rsid w:val="00B4361D"/>
    <w:rsid w:val="00B47809"/>
    <w:rsid w:val="00B50A96"/>
    <w:rsid w:val="00B51D7F"/>
    <w:rsid w:val="00B52624"/>
    <w:rsid w:val="00B53D76"/>
    <w:rsid w:val="00B542D4"/>
    <w:rsid w:val="00B558E2"/>
    <w:rsid w:val="00B616B3"/>
    <w:rsid w:val="00B65FE0"/>
    <w:rsid w:val="00B708E3"/>
    <w:rsid w:val="00B71975"/>
    <w:rsid w:val="00B73B96"/>
    <w:rsid w:val="00B7582B"/>
    <w:rsid w:val="00B75F3F"/>
    <w:rsid w:val="00B774C2"/>
    <w:rsid w:val="00B84DE2"/>
    <w:rsid w:val="00B86BAC"/>
    <w:rsid w:val="00B87497"/>
    <w:rsid w:val="00B9018B"/>
    <w:rsid w:val="00B92248"/>
    <w:rsid w:val="00B92D08"/>
    <w:rsid w:val="00B94C30"/>
    <w:rsid w:val="00B94E37"/>
    <w:rsid w:val="00B95AEE"/>
    <w:rsid w:val="00B966F2"/>
    <w:rsid w:val="00B972F0"/>
    <w:rsid w:val="00BA0887"/>
    <w:rsid w:val="00BA1006"/>
    <w:rsid w:val="00BA3041"/>
    <w:rsid w:val="00BA40F4"/>
    <w:rsid w:val="00BA5E51"/>
    <w:rsid w:val="00BA6DD7"/>
    <w:rsid w:val="00BB4DBE"/>
    <w:rsid w:val="00BC0006"/>
    <w:rsid w:val="00BC0C6D"/>
    <w:rsid w:val="00BC0FCB"/>
    <w:rsid w:val="00BC43D4"/>
    <w:rsid w:val="00BC55CE"/>
    <w:rsid w:val="00BC77DE"/>
    <w:rsid w:val="00BD694F"/>
    <w:rsid w:val="00BD6DC4"/>
    <w:rsid w:val="00BD7E87"/>
    <w:rsid w:val="00BE08D9"/>
    <w:rsid w:val="00BE196B"/>
    <w:rsid w:val="00BE265C"/>
    <w:rsid w:val="00BE3293"/>
    <w:rsid w:val="00BF0269"/>
    <w:rsid w:val="00BF2F3E"/>
    <w:rsid w:val="00BF4795"/>
    <w:rsid w:val="00BF47CE"/>
    <w:rsid w:val="00BF54A1"/>
    <w:rsid w:val="00C01EB0"/>
    <w:rsid w:val="00C03BEC"/>
    <w:rsid w:val="00C0735F"/>
    <w:rsid w:val="00C12247"/>
    <w:rsid w:val="00C1314A"/>
    <w:rsid w:val="00C147DC"/>
    <w:rsid w:val="00C162E5"/>
    <w:rsid w:val="00C17D4E"/>
    <w:rsid w:val="00C209BA"/>
    <w:rsid w:val="00C276E5"/>
    <w:rsid w:val="00C33EA9"/>
    <w:rsid w:val="00C33EEB"/>
    <w:rsid w:val="00C358A2"/>
    <w:rsid w:val="00C35A28"/>
    <w:rsid w:val="00C418FF"/>
    <w:rsid w:val="00C42878"/>
    <w:rsid w:val="00C44DE4"/>
    <w:rsid w:val="00C4579A"/>
    <w:rsid w:val="00C47B0E"/>
    <w:rsid w:val="00C6011D"/>
    <w:rsid w:val="00C60749"/>
    <w:rsid w:val="00C64094"/>
    <w:rsid w:val="00C64396"/>
    <w:rsid w:val="00C649A8"/>
    <w:rsid w:val="00C649AB"/>
    <w:rsid w:val="00C649FD"/>
    <w:rsid w:val="00C665D2"/>
    <w:rsid w:val="00C70DE9"/>
    <w:rsid w:val="00C8264D"/>
    <w:rsid w:val="00C86636"/>
    <w:rsid w:val="00C86E61"/>
    <w:rsid w:val="00C902D6"/>
    <w:rsid w:val="00C95AF9"/>
    <w:rsid w:val="00CA18A7"/>
    <w:rsid w:val="00CA2B28"/>
    <w:rsid w:val="00CA5FBE"/>
    <w:rsid w:val="00CA629A"/>
    <w:rsid w:val="00CA7528"/>
    <w:rsid w:val="00CA7631"/>
    <w:rsid w:val="00CB3214"/>
    <w:rsid w:val="00CC3243"/>
    <w:rsid w:val="00CC408A"/>
    <w:rsid w:val="00CC52DC"/>
    <w:rsid w:val="00CC6C0B"/>
    <w:rsid w:val="00CC79D3"/>
    <w:rsid w:val="00CD2B2B"/>
    <w:rsid w:val="00CE1410"/>
    <w:rsid w:val="00CE166B"/>
    <w:rsid w:val="00CE1FEA"/>
    <w:rsid w:val="00CE451E"/>
    <w:rsid w:val="00CF149E"/>
    <w:rsid w:val="00CF451F"/>
    <w:rsid w:val="00CF4EDD"/>
    <w:rsid w:val="00CF5311"/>
    <w:rsid w:val="00CF6523"/>
    <w:rsid w:val="00CF737C"/>
    <w:rsid w:val="00D01AC2"/>
    <w:rsid w:val="00D025F4"/>
    <w:rsid w:val="00D12117"/>
    <w:rsid w:val="00D12274"/>
    <w:rsid w:val="00D13777"/>
    <w:rsid w:val="00D141DE"/>
    <w:rsid w:val="00D14498"/>
    <w:rsid w:val="00D2024C"/>
    <w:rsid w:val="00D20D42"/>
    <w:rsid w:val="00D23D24"/>
    <w:rsid w:val="00D23EBF"/>
    <w:rsid w:val="00D27797"/>
    <w:rsid w:val="00D34516"/>
    <w:rsid w:val="00D35E6E"/>
    <w:rsid w:val="00D36D19"/>
    <w:rsid w:val="00D412F8"/>
    <w:rsid w:val="00D45EFF"/>
    <w:rsid w:val="00D47DCA"/>
    <w:rsid w:val="00D50D35"/>
    <w:rsid w:val="00D52D15"/>
    <w:rsid w:val="00D538AC"/>
    <w:rsid w:val="00D56F06"/>
    <w:rsid w:val="00D6252E"/>
    <w:rsid w:val="00D637BF"/>
    <w:rsid w:val="00D63B38"/>
    <w:rsid w:val="00D65E6C"/>
    <w:rsid w:val="00D70DCA"/>
    <w:rsid w:val="00D71F48"/>
    <w:rsid w:val="00D721A9"/>
    <w:rsid w:val="00D7561C"/>
    <w:rsid w:val="00D800A5"/>
    <w:rsid w:val="00D81D11"/>
    <w:rsid w:val="00D83FFC"/>
    <w:rsid w:val="00D86A5E"/>
    <w:rsid w:val="00D919C4"/>
    <w:rsid w:val="00D91D83"/>
    <w:rsid w:val="00D92F66"/>
    <w:rsid w:val="00DA0C35"/>
    <w:rsid w:val="00DA2554"/>
    <w:rsid w:val="00DA62DA"/>
    <w:rsid w:val="00DB432A"/>
    <w:rsid w:val="00DB777F"/>
    <w:rsid w:val="00DB7ADE"/>
    <w:rsid w:val="00DC0927"/>
    <w:rsid w:val="00DC1476"/>
    <w:rsid w:val="00DC22FA"/>
    <w:rsid w:val="00DC3B8A"/>
    <w:rsid w:val="00DC4946"/>
    <w:rsid w:val="00DD2ED3"/>
    <w:rsid w:val="00DD68D2"/>
    <w:rsid w:val="00DD7CC6"/>
    <w:rsid w:val="00DD7CE8"/>
    <w:rsid w:val="00DE1AB0"/>
    <w:rsid w:val="00DE27AA"/>
    <w:rsid w:val="00DE700A"/>
    <w:rsid w:val="00DF7482"/>
    <w:rsid w:val="00E03DC5"/>
    <w:rsid w:val="00E065CE"/>
    <w:rsid w:val="00E10857"/>
    <w:rsid w:val="00E11360"/>
    <w:rsid w:val="00E1396E"/>
    <w:rsid w:val="00E1455B"/>
    <w:rsid w:val="00E149BE"/>
    <w:rsid w:val="00E15847"/>
    <w:rsid w:val="00E1624E"/>
    <w:rsid w:val="00E17E1F"/>
    <w:rsid w:val="00E2110D"/>
    <w:rsid w:val="00E250C9"/>
    <w:rsid w:val="00E252F2"/>
    <w:rsid w:val="00E257DB"/>
    <w:rsid w:val="00E26F40"/>
    <w:rsid w:val="00E3003D"/>
    <w:rsid w:val="00E36B65"/>
    <w:rsid w:val="00E5019B"/>
    <w:rsid w:val="00E51E8E"/>
    <w:rsid w:val="00E52A95"/>
    <w:rsid w:val="00E556DB"/>
    <w:rsid w:val="00E578F4"/>
    <w:rsid w:val="00E604D8"/>
    <w:rsid w:val="00E607E1"/>
    <w:rsid w:val="00E62067"/>
    <w:rsid w:val="00E635D3"/>
    <w:rsid w:val="00E645BC"/>
    <w:rsid w:val="00E65117"/>
    <w:rsid w:val="00E66C2A"/>
    <w:rsid w:val="00E733CC"/>
    <w:rsid w:val="00E747A3"/>
    <w:rsid w:val="00E759BD"/>
    <w:rsid w:val="00E75B4A"/>
    <w:rsid w:val="00E77ED8"/>
    <w:rsid w:val="00E80D96"/>
    <w:rsid w:val="00E80E5D"/>
    <w:rsid w:val="00E81B2B"/>
    <w:rsid w:val="00E83A2E"/>
    <w:rsid w:val="00E83E35"/>
    <w:rsid w:val="00E84561"/>
    <w:rsid w:val="00E94C1C"/>
    <w:rsid w:val="00E95C1C"/>
    <w:rsid w:val="00E9646B"/>
    <w:rsid w:val="00EA143A"/>
    <w:rsid w:val="00EA2CED"/>
    <w:rsid w:val="00EA5D23"/>
    <w:rsid w:val="00EB5619"/>
    <w:rsid w:val="00EB696E"/>
    <w:rsid w:val="00EB7ADA"/>
    <w:rsid w:val="00EC1207"/>
    <w:rsid w:val="00EC1D1F"/>
    <w:rsid w:val="00EC5104"/>
    <w:rsid w:val="00EC6526"/>
    <w:rsid w:val="00ED4403"/>
    <w:rsid w:val="00ED76D5"/>
    <w:rsid w:val="00EE0079"/>
    <w:rsid w:val="00EF2A5A"/>
    <w:rsid w:val="00EF32D3"/>
    <w:rsid w:val="00EF337C"/>
    <w:rsid w:val="00EF35FC"/>
    <w:rsid w:val="00EF4367"/>
    <w:rsid w:val="00EF52FE"/>
    <w:rsid w:val="00EF59C7"/>
    <w:rsid w:val="00F058B1"/>
    <w:rsid w:val="00F0680A"/>
    <w:rsid w:val="00F10E9F"/>
    <w:rsid w:val="00F13D3F"/>
    <w:rsid w:val="00F1409D"/>
    <w:rsid w:val="00F157EF"/>
    <w:rsid w:val="00F17232"/>
    <w:rsid w:val="00F21905"/>
    <w:rsid w:val="00F2461C"/>
    <w:rsid w:val="00F248FE"/>
    <w:rsid w:val="00F34367"/>
    <w:rsid w:val="00F34B5E"/>
    <w:rsid w:val="00F35558"/>
    <w:rsid w:val="00F3651E"/>
    <w:rsid w:val="00F375C2"/>
    <w:rsid w:val="00F4075F"/>
    <w:rsid w:val="00F40DFD"/>
    <w:rsid w:val="00F42510"/>
    <w:rsid w:val="00F44CBE"/>
    <w:rsid w:val="00F522B2"/>
    <w:rsid w:val="00F53D2B"/>
    <w:rsid w:val="00F556FF"/>
    <w:rsid w:val="00F601EE"/>
    <w:rsid w:val="00F627DB"/>
    <w:rsid w:val="00F64E3F"/>
    <w:rsid w:val="00F71FBB"/>
    <w:rsid w:val="00F74A65"/>
    <w:rsid w:val="00F766C1"/>
    <w:rsid w:val="00F8458C"/>
    <w:rsid w:val="00F8739A"/>
    <w:rsid w:val="00F916F8"/>
    <w:rsid w:val="00F91C1C"/>
    <w:rsid w:val="00F929C6"/>
    <w:rsid w:val="00F975A4"/>
    <w:rsid w:val="00FA0208"/>
    <w:rsid w:val="00FA02D8"/>
    <w:rsid w:val="00FA0E9D"/>
    <w:rsid w:val="00FA6280"/>
    <w:rsid w:val="00FB34CF"/>
    <w:rsid w:val="00FB34FD"/>
    <w:rsid w:val="00FB4054"/>
    <w:rsid w:val="00FB4DB9"/>
    <w:rsid w:val="00FB75CA"/>
    <w:rsid w:val="00FC28F9"/>
    <w:rsid w:val="00FC6177"/>
    <w:rsid w:val="00FC63DB"/>
    <w:rsid w:val="00FC6904"/>
    <w:rsid w:val="00FC7B5C"/>
    <w:rsid w:val="00FD0A20"/>
    <w:rsid w:val="00FD0B3A"/>
    <w:rsid w:val="00FD21CB"/>
    <w:rsid w:val="00FD4DD3"/>
    <w:rsid w:val="00FD58E5"/>
    <w:rsid w:val="00FD64AB"/>
    <w:rsid w:val="00FD65AE"/>
    <w:rsid w:val="00FE0AB1"/>
    <w:rsid w:val="00FE1344"/>
    <w:rsid w:val="00FE3E40"/>
    <w:rsid w:val="00FE5217"/>
    <w:rsid w:val="00FE5BA5"/>
    <w:rsid w:val="00FE7244"/>
    <w:rsid w:val="00FF2562"/>
    <w:rsid w:val="00FF3A72"/>
    <w:rsid w:val="00FF76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29FA44-78ED-402B-8649-30DFDDA69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5C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721A9"/>
    <w:pPr>
      <w:tabs>
        <w:tab w:val="center" w:pos="4680"/>
        <w:tab w:val="right" w:pos="9360"/>
      </w:tabs>
    </w:pPr>
  </w:style>
  <w:style w:type="character" w:customStyle="1" w:styleId="HeaderChar">
    <w:name w:val="Header Char"/>
    <w:basedOn w:val="DefaultParagraphFont"/>
    <w:link w:val="Header"/>
    <w:uiPriority w:val="99"/>
    <w:rsid w:val="00D721A9"/>
  </w:style>
  <w:style w:type="paragraph" w:styleId="Footer">
    <w:name w:val="footer"/>
    <w:basedOn w:val="Normal"/>
    <w:link w:val="FooterChar"/>
    <w:uiPriority w:val="99"/>
    <w:unhideWhenUsed/>
    <w:rsid w:val="00D721A9"/>
    <w:pPr>
      <w:tabs>
        <w:tab w:val="center" w:pos="4680"/>
        <w:tab w:val="right" w:pos="9360"/>
      </w:tabs>
    </w:pPr>
  </w:style>
  <w:style w:type="character" w:customStyle="1" w:styleId="FooterChar">
    <w:name w:val="Footer Char"/>
    <w:basedOn w:val="DefaultParagraphFont"/>
    <w:link w:val="Footer"/>
    <w:uiPriority w:val="99"/>
    <w:rsid w:val="00D721A9"/>
  </w:style>
  <w:style w:type="table" w:styleId="PlainTable3">
    <w:name w:val="Plain Table 3"/>
    <w:basedOn w:val="TableNormal"/>
    <w:uiPriority w:val="43"/>
    <w:rsid w:val="0027088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7088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A966A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48"/>
    <w:rsid w:val="00A966A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Caption">
    <w:name w:val="caption"/>
    <w:basedOn w:val="Normal"/>
    <w:next w:val="Normal"/>
    <w:uiPriority w:val="35"/>
    <w:unhideWhenUsed/>
    <w:qFormat/>
    <w:rsid w:val="00AF286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269641">
      <w:bodyDiv w:val="1"/>
      <w:marLeft w:val="0"/>
      <w:marRight w:val="0"/>
      <w:marTop w:val="0"/>
      <w:marBottom w:val="0"/>
      <w:divBdr>
        <w:top w:val="none" w:sz="0" w:space="0" w:color="auto"/>
        <w:left w:val="none" w:sz="0" w:space="0" w:color="auto"/>
        <w:bottom w:val="none" w:sz="0" w:space="0" w:color="auto"/>
        <w:right w:val="none" w:sz="0" w:space="0" w:color="auto"/>
      </w:divBdr>
      <w:divsChild>
        <w:div w:id="1438673508">
          <w:marLeft w:val="0"/>
          <w:marRight w:val="0"/>
          <w:marTop w:val="0"/>
          <w:marBottom w:val="0"/>
          <w:divBdr>
            <w:top w:val="none" w:sz="0" w:space="0" w:color="auto"/>
            <w:left w:val="none" w:sz="0" w:space="0" w:color="auto"/>
            <w:bottom w:val="none" w:sz="0" w:space="0" w:color="auto"/>
            <w:right w:val="none" w:sz="0" w:space="0" w:color="auto"/>
          </w:divBdr>
        </w:div>
      </w:divsChild>
    </w:div>
    <w:div w:id="1098017567">
      <w:bodyDiv w:val="1"/>
      <w:marLeft w:val="0"/>
      <w:marRight w:val="0"/>
      <w:marTop w:val="0"/>
      <w:marBottom w:val="0"/>
      <w:divBdr>
        <w:top w:val="none" w:sz="0" w:space="0" w:color="auto"/>
        <w:left w:val="none" w:sz="0" w:space="0" w:color="auto"/>
        <w:bottom w:val="none" w:sz="0" w:space="0" w:color="auto"/>
        <w:right w:val="none" w:sz="0" w:space="0" w:color="auto"/>
      </w:divBdr>
    </w:div>
    <w:div w:id="1652252262">
      <w:bodyDiv w:val="1"/>
      <w:marLeft w:val="0"/>
      <w:marRight w:val="0"/>
      <w:marTop w:val="0"/>
      <w:marBottom w:val="0"/>
      <w:divBdr>
        <w:top w:val="none" w:sz="0" w:space="0" w:color="auto"/>
        <w:left w:val="none" w:sz="0" w:space="0" w:color="auto"/>
        <w:bottom w:val="none" w:sz="0" w:space="0" w:color="auto"/>
        <w:right w:val="none" w:sz="0" w:space="0" w:color="auto"/>
      </w:divBdr>
    </w:div>
    <w:div w:id="1710758101">
      <w:bodyDiv w:val="1"/>
      <w:marLeft w:val="0"/>
      <w:marRight w:val="0"/>
      <w:marTop w:val="0"/>
      <w:marBottom w:val="0"/>
      <w:divBdr>
        <w:top w:val="none" w:sz="0" w:space="0" w:color="auto"/>
        <w:left w:val="none" w:sz="0" w:space="0" w:color="auto"/>
        <w:bottom w:val="none" w:sz="0" w:space="0" w:color="auto"/>
        <w:right w:val="none" w:sz="0" w:space="0" w:color="auto"/>
      </w:divBdr>
      <w:divsChild>
        <w:div w:id="672611488">
          <w:marLeft w:val="0"/>
          <w:marRight w:val="0"/>
          <w:marTop w:val="0"/>
          <w:marBottom w:val="0"/>
          <w:divBdr>
            <w:top w:val="none" w:sz="0" w:space="0" w:color="auto"/>
            <w:left w:val="none" w:sz="0" w:space="0" w:color="auto"/>
            <w:bottom w:val="none" w:sz="0" w:space="0" w:color="auto"/>
            <w:right w:val="none" w:sz="0" w:space="0" w:color="auto"/>
          </w:divBdr>
        </w:div>
      </w:divsChild>
    </w:div>
    <w:div w:id="1988320470">
      <w:bodyDiv w:val="1"/>
      <w:marLeft w:val="0"/>
      <w:marRight w:val="0"/>
      <w:marTop w:val="0"/>
      <w:marBottom w:val="0"/>
      <w:divBdr>
        <w:top w:val="none" w:sz="0" w:space="0" w:color="auto"/>
        <w:left w:val="none" w:sz="0" w:space="0" w:color="auto"/>
        <w:bottom w:val="none" w:sz="0" w:space="0" w:color="auto"/>
        <w:right w:val="none" w:sz="0" w:space="0" w:color="auto"/>
      </w:divBdr>
      <w:divsChild>
        <w:div w:id="2125271558">
          <w:marLeft w:val="0"/>
          <w:marRight w:val="0"/>
          <w:marTop w:val="0"/>
          <w:marBottom w:val="0"/>
          <w:divBdr>
            <w:top w:val="none" w:sz="0" w:space="0" w:color="auto"/>
            <w:left w:val="none" w:sz="0" w:space="0" w:color="auto"/>
            <w:bottom w:val="none" w:sz="0" w:space="0" w:color="auto"/>
            <w:right w:val="none" w:sz="0" w:space="0" w:color="auto"/>
          </w:divBdr>
        </w:div>
      </w:divsChild>
    </w:div>
    <w:div w:id="2045520032">
      <w:bodyDiv w:val="1"/>
      <w:marLeft w:val="0"/>
      <w:marRight w:val="0"/>
      <w:marTop w:val="0"/>
      <w:marBottom w:val="0"/>
      <w:divBdr>
        <w:top w:val="none" w:sz="0" w:space="0" w:color="auto"/>
        <w:left w:val="none" w:sz="0" w:space="0" w:color="auto"/>
        <w:bottom w:val="none" w:sz="0" w:space="0" w:color="auto"/>
        <w:right w:val="none" w:sz="0" w:space="0" w:color="auto"/>
      </w:divBdr>
      <w:divsChild>
        <w:div w:id="1906257462">
          <w:marLeft w:val="0"/>
          <w:marRight w:val="0"/>
          <w:marTop w:val="0"/>
          <w:marBottom w:val="0"/>
          <w:divBdr>
            <w:top w:val="none" w:sz="0" w:space="0" w:color="auto"/>
            <w:left w:val="none" w:sz="0" w:space="0" w:color="auto"/>
            <w:bottom w:val="none" w:sz="0" w:space="0" w:color="auto"/>
            <w:right w:val="none" w:sz="0" w:space="0" w:color="auto"/>
          </w:divBdr>
        </w:div>
      </w:divsChild>
    </w:div>
    <w:div w:id="214539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Owner\AppData\Roaming\Microsoft\Excel\lh%20pcr%20std%20sizes%20(version%201).xlsb"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'avg bar graphs'!$C$115</c:f>
              <c:strCache>
                <c:ptCount val="1"/>
                <c:pt idx="0">
                  <c:v>low discharge</c:v>
                </c:pt>
              </c:strCache>
            </c:strRef>
          </c:tx>
          <c:spPr>
            <a:solidFill>
              <a:srgbClr val="00B0F0"/>
            </a:solidFill>
            <a:ln>
              <a:noFill/>
            </a:ln>
            <a:effectLst/>
          </c:spPr>
          <c:invertIfNegative val="0"/>
          <c:errBars>
            <c:errBarType val="both"/>
            <c:errValType val="cust"/>
            <c:noEndCap val="0"/>
            <c:plus>
              <c:numRef>
                <c:f>'avg bar graphs'!$G$116:$G$148</c:f>
                <c:numCache>
                  <c:formatCode>General</c:formatCode>
                  <c:ptCount val="33"/>
                  <c:pt idx="0">
                    <c:v>1.0037575835626453E-3</c:v>
                  </c:pt>
                  <c:pt idx="1">
                    <c:v>5.3166199225640649E-3</c:v>
                  </c:pt>
                  <c:pt idx="2">
                    <c:v>4.2478615483914108E-3</c:v>
                  </c:pt>
                  <c:pt idx="3">
                    <c:v>2.6671835710824873E-3</c:v>
                  </c:pt>
                  <c:pt idx="4">
                    <c:v>1.3571179593883849E-2</c:v>
                  </c:pt>
                  <c:pt idx="5">
                    <c:v>3.8211703492602026E-4</c:v>
                  </c:pt>
                  <c:pt idx="6">
                    <c:v>1.4136729068873401E-3</c:v>
                  </c:pt>
                  <c:pt idx="7">
                    <c:v>1.8221592724198263E-3</c:v>
                  </c:pt>
                  <c:pt idx="8">
                    <c:v>4.5376169793761127E-3</c:v>
                  </c:pt>
                  <c:pt idx="9">
                    <c:v>1.8950343536192915E-3</c:v>
                  </c:pt>
                  <c:pt idx="10">
                    <c:v>0</c:v>
                  </c:pt>
                  <c:pt idx="11">
                    <c:v>3.6528977887334713E-3</c:v>
                  </c:pt>
                  <c:pt idx="12">
                    <c:v>3.4098982312999507E-3</c:v>
                  </c:pt>
                  <c:pt idx="13">
                    <c:v>3.5973808394745847E-3</c:v>
                  </c:pt>
                  <c:pt idx="14">
                    <c:v>2.4396961580145649E-3</c:v>
                  </c:pt>
                  <c:pt idx="15">
                    <c:v>1.1211131145143226E-2</c:v>
                  </c:pt>
                  <c:pt idx="16">
                    <c:v>1.1132902707235468E-2</c:v>
                  </c:pt>
                  <c:pt idx="17">
                    <c:v>6.6647991483343308E-3</c:v>
                  </c:pt>
                  <c:pt idx="18">
                    <c:v>4.4260727001284618E-3</c:v>
                  </c:pt>
                  <c:pt idx="19">
                    <c:v>1.2842720063889384E-2</c:v>
                  </c:pt>
                  <c:pt idx="20">
                    <c:v>7.5490703305196175E-4</c:v>
                  </c:pt>
                  <c:pt idx="21">
                    <c:v>0</c:v>
                  </c:pt>
                  <c:pt idx="22">
                    <c:v>1.3653905922592457E-3</c:v>
                  </c:pt>
                  <c:pt idx="23">
                    <c:v>4.6320472691009701E-3</c:v>
                  </c:pt>
                  <c:pt idx="24">
                    <c:v>2.2129816276625913E-3</c:v>
                  </c:pt>
                  <c:pt idx="25">
                    <c:v>9.5865032406120283E-3</c:v>
                  </c:pt>
                  <c:pt idx="26">
                    <c:v>1.6206353253131415E-3</c:v>
                  </c:pt>
                  <c:pt idx="27">
                    <c:v>2.2694706384768621E-3</c:v>
                  </c:pt>
                  <c:pt idx="28">
                    <c:v>9.1120971582562995E-4</c:v>
                  </c:pt>
                  <c:pt idx="29">
                    <c:v>4.8165030463355142E-3</c:v>
                  </c:pt>
                  <c:pt idx="30">
                    <c:v>9.1285455069844469E-4</c:v>
                  </c:pt>
                  <c:pt idx="31">
                    <c:v>3.4745079397695095E-3</c:v>
                  </c:pt>
                  <c:pt idx="32">
                    <c:v>5.7056512440354734E-4</c:v>
                  </c:pt>
                </c:numCache>
              </c:numRef>
            </c:plus>
            <c:minus>
              <c:numRef>
                <c:f>'avg bar graphs'!$G$116:$G$148</c:f>
                <c:numCache>
                  <c:formatCode>General</c:formatCode>
                  <c:ptCount val="33"/>
                  <c:pt idx="0">
                    <c:v>1.0037575835626453E-3</c:v>
                  </c:pt>
                  <c:pt idx="1">
                    <c:v>5.3166199225640649E-3</c:v>
                  </c:pt>
                  <c:pt idx="2">
                    <c:v>4.2478615483914108E-3</c:v>
                  </c:pt>
                  <c:pt idx="3">
                    <c:v>2.6671835710824873E-3</c:v>
                  </c:pt>
                  <c:pt idx="4">
                    <c:v>1.3571179593883849E-2</c:v>
                  </c:pt>
                  <c:pt idx="5">
                    <c:v>3.8211703492602026E-4</c:v>
                  </c:pt>
                  <c:pt idx="6">
                    <c:v>1.4136729068873401E-3</c:v>
                  </c:pt>
                  <c:pt idx="7">
                    <c:v>1.8221592724198263E-3</c:v>
                  </c:pt>
                  <c:pt idx="8">
                    <c:v>4.5376169793761127E-3</c:v>
                  </c:pt>
                  <c:pt idx="9">
                    <c:v>1.8950343536192915E-3</c:v>
                  </c:pt>
                  <c:pt idx="10">
                    <c:v>0</c:v>
                  </c:pt>
                  <c:pt idx="11">
                    <c:v>3.6528977887334713E-3</c:v>
                  </c:pt>
                  <c:pt idx="12">
                    <c:v>3.4098982312999507E-3</c:v>
                  </c:pt>
                  <c:pt idx="13">
                    <c:v>3.5973808394745847E-3</c:v>
                  </c:pt>
                  <c:pt idx="14">
                    <c:v>2.4396961580145649E-3</c:v>
                  </c:pt>
                  <c:pt idx="15">
                    <c:v>1.1211131145143226E-2</c:v>
                  </c:pt>
                  <c:pt idx="16">
                    <c:v>1.1132902707235468E-2</c:v>
                  </c:pt>
                  <c:pt idx="17">
                    <c:v>6.6647991483343308E-3</c:v>
                  </c:pt>
                  <c:pt idx="18">
                    <c:v>4.4260727001284618E-3</c:v>
                  </c:pt>
                  <c:pt idx="19">
                    <c:v>1.2842720063889384E-2</c:v>
                  </c:pt>
                  <c:pt idx="20">
                    <c:v>7.5490703305196175E-4</c:v>
                  </c:pt>
                  <c:pt idx="21">
                    <c:v>0</c:v>
                  </c:pt>
                  <c:pt idx="22">
                    <c:v>1.3653905922592457E-3</c:v>
                  </c:pt>
                  <c:pt idx="23">
                    <c:v>4.6320472691009701E-3</c:v>
                  </c:pt>
                  <c:pt idx="24">
                    <c:v>2.2129816276625913E-3</c:v>
                  </c:pt>
                  <c:pt idx="25">
                    <c:v>9.5865032406120283E-3</c:v>
                  </c:pt>
                  <c:pt idx="26">
                    <c:v>1.6206353253131415E-3</c:v>
                  </c:pt>
                  <c:pt idx="27">
                    <c:v>2.2694706384768621E-3</c:v>
                  </c:pt>
                  <c:pt idx="28">
                    <c:v>9.1120971582562995E-4</c:v>
                  </c:pt>
                  <c:pt idx="29">
                    <c:v>4.8165030463355142E-3</c:v>
                  </c:pt>
                  <c:pt idx="30">
                    <c:v>9.1285455069844469E-4</c:v>
                  </c:pt>
                  <c:pt idx="31">
                    <c:v>3.4745079397695095E-3</c:v>
                  </c:pt>
                  <c:pt idx="32">
                    <c:v>5.7056512440354734E-4</c:v>
                  </c:pt>
                </c:numCache>
              </c:numRef>
            </c:minus>
            <c:spPr>
              <a:noFill/>
              <a:ln w="9525" cap="flat" cmpd="sng" algn="ctr">
                <a:solidFill>
                  <a:schemeClr val="tx1">
                    <a:lumMod val="65000"/>
                    <a:lumOff val="35000"/>
                  </a:schemeClr>
                </a:solidFill>
                <a:round/>
              </a:ln>
              <a:effectLst/>
            </c:spPr>
          </c:errBars>
          <c:cat>
            <c:numRef>
              <c:f>'avg bar graphs'!$B$116:$B$148</c:f>
              <c:numCache>
                <c:formatCode>General</c:formatCode>
                <c:ptCount val="33"/>
                <c:pt idx="0">
                  <c:v>302</c:v>
                </c:pt>
                <c:pt idx="1">
                  <c:v>309</c:v>
                </c:pt>
                <c:pt idx="2">
                  <c:v>310</c:v>
                </c:pt>
                <c:pt idx="3">
                  <c:v>312</c:v>
                </c:pt>
                <c:pt idx="4">
                  <c:v>313</c:v>
                </c:pt>
                <c:pt idx="5">
                  <c:v>320</c:v>
                </c:pt>
                <c:pt idx="6">
                  <c:v>322</c:v>
                </c:pt>
                <c:pt idx="7">
                  <c:v>324</c:v>
                </c:pt>
                <c:pt idx="8">
                  <c:v>327</c:v>
                </c:pt>
                <c:pt idx="9">
                  <c:v>331</c:v>
                </c:pt>
                <c:pt idx="10">
                  <c:v>333</c:v>
                </c:pt>
                <c:pt idx="11">
                  <c:v>335</c:v>
                </c:pt>
                <c:pt idx="12">
                  <c:v>336</c:v>
                </c:pt>
                <c:pt idx="13">
                  <c:v>338</c:v>
                </c:pt>
                <c:pt idx="14">
                  <c:v>339</c:v>
                </c:pt>
                <c:pt idx="15">
                  <c:v>341</c:v>
                </c:pt>
                <c:pt idx="16">
                  <c:v>342</c:v>
                </c:pt>
                <c:pt idx="17">
                  <c:v>343</c:v>
                </c:pt>
                <c:pt idx="18">
                  <c:v>344</c:v>
                </c:pt>
                <c:pt idx="19">
                  <c:v>345</c:v>
                </c:pt>
                <c:pt idx="20">
                  <c:v>346</c:v>
                </c:pt>
                <c:pt idx="21">
                  <c:v>347</c:v>
                </c:pt>
                <c:pt idx="22">
                  <c:v>348</c:v>
                </c:pt>
                <c:pt idx="23">
                  <c:v>350</c:v>
                </c:pt>
                <c:pt idx="24">
                  <c:v>351</c:v>
                </c:pt>
                <c:pt idx="25">
                  <c:v>354</c:v>
                </c:pt>
                <c:pt idx="26">
                  <c:v>355</c:v>
                </c:pt>
                <c:pt idx="27">
                  <c:v>356</c:v>
                </c:pt>
                <c:pt idx="28">
                  <c:v>357</c:v>
                </c:pt>
                <c:pt idx="29">
                  <c:v>358</c:v>
                </c:pt>
                <c:pt idx="30">
                  <c:v>360</c:v>
                </c:pt>
                <c:pt idx="31">
                  <c:v>368</c:v>
                </c:pt>
                <c:pt idx="32">
                  <c:v>372</c:v>
                </c:pt>
              </c:numCache>
            </c:numRef>
          </c:cat>
          <c:val>
            <c:numRef>
              <c:f>'avg bar graphs'!$C$116:$C$148</c:f>
              <c:numCache>
                <c:formatCode>General</c:formatCode>
                <c:ptCount val="33"/>
                <c:pt idx="0">
                  <c:v>6.0469794999999998E-3</c:v>
                </c:pt>
                <c:pt idx="1">
                  <c:v>2.6575894416666666E-2</c:v>
                </c:pt>
                <c:pt idx="2">
                  <c:v>0.14549724733333333</c:v>
                </c:pt>
                <c:pt idx="3">
                  <c:v>2.8053371166666671E-2</c:v>
                </c:pt>
                <c:pt idx="4">
                  <c:v>0.24376974058333337</c:v>
                </c:pt>
                <c:pt idx="5">
                  <c:v>9.3427525000000001E-4</c:v>
                </c:pt>
                <c:pt idx="6">
                  <c:v>1.2570731E-2</c:v>
                </c:pt>
                <c:pt idx="7">
                  <c:v>1.3336308583333333E-2</c:v>
                </c:pt>
                <c:pt idx="8">
                  <c:v>1.020045575E-2</c:v>
                </c:pt>
                <c:pt idx="9">
                  <c:v>4.6850419166666671E-3</c:v>
                </c:pt>
                <c:pt idx="10">
                  <c:v>0</c:v>
                </c:pt>
                <c:pt idx="11">
                  <c:v>5.238265533333334E-2</c:v>
                </c:pt>
                <c:pt idx="12">
                  <c:v>2.4296374916666669E-2</c:v>
                </c:pt>
                <c:pt idx="13">
                  <c:v>3.0440536583333341E-2</c:v>
                </c:pt>
                <c:pt idx="14">
                  <c:v>2.226397758333333E-2</c:v>
                </c:pt>
                <c:pt idx="15">
                  <c:v>3.3854592333333329E-2</c:v>
                </c:pt>
                <c:pt idx="16">
                  <c:v>3.702934883333333E-2</c:v>
                </c:pt>
                <c:pt idx="17">
                  <c:v>5.716102016666666E-2</c:v>
                </c:pt>
                <c:pt idx="18">
                  <c:v>1.6883820166666667E-2</c:v>
                </c:pt>
                <c:pt idx="19">
                  <c:v>0.12176246441666666</c:v>
                </c:pt>
                <c:pt idx="20">
                  <c:v>1.3342456666666667E-3</c:v>
                </c:pt>
                <c:pt idx="21">
                  <c:v>0</c:v>
                </c:pt>
                <c:pt idx="22">
                  <c:v>1.0089523E-2</c:v>
                </c:pt>
                <c:pt idx="23">
                  <c:v>2.4892964583333333E-2</c:v>
                </c:pt>
                <c:pt idx="24">
                  <c:v>3.9112910833333332E-3</c:v>
                </c:pt>
                <c:pt idx="25">
                  <c:v>2.7279741083333333E-2</c:v>
                </c:pt>
                <c:pt idx="26">
                  <c:v>5.401214416666667E-3</c:v>
                </c:pt>
                <c:pt idx="27">
                  <c:v>1.647097233333333E-2</c:v>
                </c:pt>
                <c:pt idx="28">
                  <c:v>3.0308184999999995E-3</c:v>
                </c:pt>
                <c:pt idx="29">
                  <c:v>1.1081601333333335E-2</c:v>
                </c:pt>
                <c:pt idx="30">
                  <c:v>1.6134069166666666E-3</c:v>
                </c:pt>
                <c:pt idx="31">
                  <c:v>6.1409510833333328E-3</c:v>
                </c:pt>
                <c:pt idx="32">
                  <c:v>1.0084341666666667E-3</c:v>
                </c:pt>
              </c:numCache>
            </c:numRef>
          </c:val>
        </c:ser>
        <c:ser>
          <c:idx val="1"/>
          <c:order val="1"/>
          <c:tx>
            <c:strRef>
              <c:f>'avg bar graphs'!$D$115</c:f>
              <c:strCache>
                <c:ptCount val="1"/>
                <c:pt idx="0">
                  <c:v>high discharge</c:v>
                </c:pt>
              </c:strCache>
            </c:strRef>
          </c:tx>
          <c:spPr>
            <a:solidFill>
              <a:srgbClr val="002060"/>
            </a:solidFill>
            <a:ln>
              <a:noFill/>
            </a:ln>
            <a:effectLst/>
          </c:spPr>
          <c:invertIfNegative val="0"/>
          <c:errBars>
            <c:errBarType val="both"/>
            <c:errValType val="cust"/>
            <c:noEndCap val="0"/>
            <c:plus>
              <c:numRef>
                <c:f>'avg bar graphs'!$H$116:$H$148</c:f>
                <c:numCache>
                  <c:formatCode>General</c:formatCode>
                  <c:ptCount val="33"/>
                  <c:pt idx="0">
                    <c:v>1.0865093516919063E-3</c:v>
                  </c:pt>
                  <c:pt idx="1">
                    <c:v>2.8566041074397159E-2</c:v>
                  </c:pt>
                  <c:pt idx="2">
                    <c:v>5.6868626737477425E-2</c:v>
                  </c:pt>
                  <c:pt idx="3">
                    <c:v>3.0929758918848516E-2</c:v>
                  </c:pt>
                  <c:pt idx="4">
                    <c:v>5.7705578377785165E-2</c:v>
                  </c:pt>
                  <c:pt idx="5">
                    <c:v>0</c:v>
                  </c:pt>
                  <c:pt idx="6">
                    <c:v>1.2721187626720623E-2</c:v>
                  </c:pt>
                  <c:pt idx="7">
                    <c:v>4.0952182888620133E-2</c:v>
                  </c:pt>
                  <c:pt idx="8">
                    <c:v>1.5379087371979073E-3</c:v>
                  </c:pt>
                  <c:pt idx="9">
                    <c:v>3.9441432627160596E-3</c:v>
                  </c:pt>
                  <c:pt idx="10">
                    <c:v>6.7405675225845904E-3</c:v>
                  </c:pt>
                  <c:pt idx="11">
                    <c:v>1.0188453907739129E-2</c:v>
                  </c:pt>
                  <c:pt idx="12">
                    <c:v>7.7812154038389937E-3</c:v>
                  </c:pt>
                  <c:pt idx="13">
                    <c:v>5.1770669713684181E-3</c:v>
                  </c:pt>
                  <c:pt idx="14">
                    <c:v>1.0479889221030655E-2</c:v>
                  </c:pt>
                  <c:pt idx="15">
                    <c:v>3.9532988684821489E-2</c:v>
                  </c:pt>
                  <c:pt idx="16">
                    <c:v>1.5644696010169823E-2</c:v>
                  </c:pt>
                  <c:pt idx="17">
                    <c:v>3.1823827770098366E-2</c:v>
                  </c:pt>
                  <c:pt idx="18">
                    <c:v>2.9564951923652778E-2</c:v>
                  </c:pt>
                  <c:pt idx="19">
                    <c:v>7.9440150066461043E-3</c:v>
                  </c:pt>
                  <c:pt idx="20">
                    <c:v>9.544943248191648E-3</c:v>
                  </c:pt>
                  <c:pt idx="21">
                    <c:v>7.4567485352958806E-3</c:v>
                  </c:pt>
                  <c:pt idx="22">
                    <c:v>4.1956126853785192E-3</c:v>
                  </c:pt>
                  <c:pt idx="23">
                    <c:v>2.7282692165094352E-2</c:v>
                  </c:pt>
                  <c:pt idx="24">
                    <c:v>4.7364275562021239E-3</c:v>
                  </c:pt>
                  <c:pt idx="25">
                    <c:v>1.9648614822380382E-3</c:v>
                  </c:pt>
                  <c:pt idx="26">
                    <c:v>3.7391714671471864E-2</c:v>
                  </c:pt>
                  <c:pt idx="27">
                    <c:v>5.5115886383274451E-3</c:v>
                  </c:pt>
                  <c:pt idx="28">
                    <c:v>1.1686182098461015E-2</c:v>
                  </c:pt>
                  <c:pt idx="29">
                    <c:v>2.9429260337998638E-2</c:v>
                  </c:pt>
                  <c:pt idx="30">
                    <c:v>1.1632851262439424E-3</c:v>
                  </c:pt>
                  <c:pt idx="31">
                    <c:v>0</c:v>
                  </c:pt>
                  <c:pt idx="32">
                    <c:v>0</c:v>
                  </c:pt>
                </c:numCache>
              </c:numRef>
            </c:plus>
            <c:minus>
              <c:numRef>
                <c:f>'avg bar graphs'!$H$116:$H$148</c:f>
                <c:numCache>
                  <c:formatCode>General</c:formatCode>
                  <c:ptCount val="33"/>
                  <c:pt idx="0">
                    <c:v>1.0865093516919063E-3</c:v>
                  </c:pt>
                  <c:pt idx="1">
                    <c:v>2.8566041074397159E-2</c:v>
                  </c:pt>
                  <c:pt idx="2">
                    <c:v>5.6868626737477425E-2</c:v>
                  </c:pt>
                  <c:pt idx="3">
                    <c:v>3.0929758918848516E-2</c:v>
                  </c:pt>
                  <c:pt idx="4">
                    <c:v>5.7705578377785165E-2</c:v>
                  </c:pt>
                  <c:pt idx="5">
                    <c:v>0</c:v>
                  </c:pt>
                  <c:pt idx="6">
                    <c:v>1.2721187626720623E-2</c:v>
                  </c:pt>
                  <c:pt idx="7">
                    <c:v>4.0952182888620133E-2</c:v>
                  </c:pt>
                  <c:pt idx="8">
                    <c:v>1.5379087371979073E-3</c:v>
                  </c:pt>
                  <c:pt idx="9">
                    <c:v>3.9441432627160596E-3</c:v>
                  </c:pt>
                  <c:pt idx="10">
                    <c:v>6.7405675225845904E-3</c:v>
                  </c:pt>
                  <c:pt idx="11">
                    <c:v>1.0188453907739129E-2</c:v>
                  </c:pt>
                  <c:pt idx="12">
                    <c:v>7.7812154038389937E-3</c:v>
                  </c:pt>
                  <c:pt idx="13">
                    <c:v>5.1770669713684181E-3</c:v>
                  </c:pt>
                  <c:pt idx="14">
                    <c:v>1.0479889221030655E-2</c:v>
                  </c:pt>
                  <c:pt idx="15">
                    <c:v>3.9532988684821489E-2</c:v>
                  </c:pt>
                  <c:pt idx="16">
                    <c:v>1.5644696010169823E-2</c:v>
                  </c:pt>
                  <c:pt idx="17">
                    <c:v>3.1823827770098366E-2</c:v>
                  </c:pt>
                  <c:pt idx="18">
                    <c:v>2.9564951923652778E-2</c:v>
                  </c:pt>
                  <c:pt idx="19">
                    <c:v>7.9440150066461043E-3</c:v>
                  </c:pt>
                  <c:pt idx="20">
                    <c:v>9.544943248191648E-3</c:v>
                  </c:pt>
                  <c:pt idx="21">
                    <c:v>7.4567485352958806E-3</c:v>
                  </c:pt>
                  <c:pt idx="22">
                    <c:v>4.1956126853785192E-3</c:v>
                  </c:pt>
                  <c:pt idx="23">
                    <c:v>2.7282692165094352E-2</c:v>
                  </c:pt>
                  <c:pt idx="24">
                    <c:v>4.7364275562021239E-3</c:v>
                  </c:pt>
                  <c:pt idx="25">
                    <c:v>1.9648614822380382E-3</c:v>
                  </c:pt>
                  <c:pt idx="26">
                    <c:v>3.7391714671471864E-2</c:v>
                  </c:pt>
                  <c:pt idx="27">
                    <c:v>5.5115886383274451E-3</c:v>
                  </c:pt>
                  <c:pt idx="28">
                    <c:v>1.1686182098461015E-2</c:v>
                  </c:pt>
                  <c:pt idx="29">
                    <c:v>2.9429260337998638E-2</c:v>
                  </c:pt>
                  <c:pt idx="30">
                    <c:v>1.1632851262439424E-3</c:v>
                  </c:pt>
                  <c:pt idx="31">
                    <c:v>0</c:v>
                  </c:pt>
                  <c:pt idx="32">
                    <c:v>0</c:v>
                  </c:pt>
                </c:numCache>
              </c:numRef>
            </c:minus>
            <c:spPr>
              <a:noFill/>
              <a:ln w="9525" cap="flat" cmpd="sng" algn="ctr">
                <a:solidFill>
                  <a:schemeClr val="tx1">
                    <a:lumMod val="65000"/>
                    <a:lumOff val="35000"/>
                  </a:schemeClr>
                </a:solidFill>
                <a:round/>
              </a:ln>
              <a:effectLst/>
            </c:spPr>
          </c:errBars>
          <c:cat>
            <c:numRef>
              <c:f>'avg bar graphs'!$B$116:$B$148</c:f>
              <c:numCache>
                <c:formatCode>General</c:formatCode>
                <c:ptCount val="33"/>
                <c:pt idx="0">
                  <c:v>302</c:v>
                </c:pt>
                <c:pt idx="1">
                  <c:v>309</c:v>
                </c:pt>
                <c:pt idx="2">
                  <c:v>310</c:v>
                </c:pt>
                <c:pt idx="3">
                  <c:v>312</c:v>
                </c:pt>
                <c:pt idx="4">
                  <c:v>313</c:v>
                </c:pt>
                <c:pt idx="5">
                  <c:v>320</c:v>
                </c:pt>
                <c:pt idx="6">
                  <c:v>322</c:v>
                </c:pt>
                <c:pt idx="7">
                  <c:v>324</c:v>
                </c:pt>
                <c:pt idx="8">
                  <c:v>327</c:v>
                </c:pt>
                <c:pt idx="9">
                  <c:v>331</c:v>
                </c:pt>
                <c:pt idx="10">
                  <c:v>333</c:v>
                </c:pt>
                <c:pt idx="11">
                  <c:v>335</c:v>
                </c:pt>
                <c:pt idx="12">
                  <c:v>336</c:v>
                </c:pt>
                <c:pt idx="13">
                  <c:v>338</c:v>
                </c:pt>
                <c:pt idx="14">
                  <c:v>339</c:v>
                </c:pt>
                <c:pt idx="15">
                  <c:v>341</c:v>
                </c:pt>
                <c:pt idx="16">
                  <c:v>342</c:v>
                </c:pt>
                <c:pt idx="17">
                  <c:v>343</c:v>
                </c:pt>
                <c:pt idx="18">
                  <c:v>344</c:v>
                </c:pt>
                <c:pt idx="19">
                  <c:v>345</c:v>
                </c:pt>
                <c:pt idx="20">
                  <c:v>346</c:v>
                </c:pt>
                <c:pt idx="21">
                  <c:v>347</c:v>
                </c:pt>
                <c:pt idx="22">
                  <c:v>348</c:v>
                </c:pt>
                <c:pt idx="23">
                  <c:v>350</c:v>
                </c:pt>
                <c:pt idx="24">
                  <c:v>351</c:v>
                </c:pt>
                <c:pt idx="25">
                  <c:v>354</c:v>
                </c:pt>
                <c:pt idx="26">
                  <c:v>355</c:v>
                </c:pt>
                <c:pt idx="27">
                  <c:v>356</c:v>
                </c:pt>
                <c:pt idx="28">
                  <c:v>357</c:v>
                </c:pt>
                <c:pt idx="29">
                  <c:v>358</c:v>
                </c:pt>
                <c:pt idx="30">
                  <c:v>360</c:v>
                </c:pt>
                <c:pt idx="31">
                  <c:v>368</c:v>
                </c:pt>
                <c:pt idx="32">
                  <c:v>372</c:v>
                </c:pt>
              </c:numCache>
            </c:numRef>
          </c:cat>
          <c:val>
            <c:numRef>
              <c:f>'avg bar graphs'!$D$116:$D$148</c:f>
              <c:numCache>
                <c:formatCode>General</c:formatCode>
                <c:ptCount val="33"/>
                <c:pt idx="0">
                  <c:v>5.5435169230769231E-4</c:v>
                </c:pt>
                <c:pt idx="1">
                  <c:v>5.6255163615384622E-2</c:v>
                </c:pt>
                <c:pt idx="2">
                  <c:v>0.16510169930769231</c:v>
                </c:pt>
                <c:pt idx="3">
                  <c:v>4.9340849999999999E-2</c:v>
                </c:pt>
                <c:pt idx="4">
                  <c:v>0.24751058123076927</c:v>
                </c:pt>
                <c:pt idx="5">
                  <c:v>0</c:v>
                </c:pt>
                <c:pt idx="6">
                  <c:v>2.6259616999999999E-2</c:v>
                </c:pt>
                <c:pt idx="7">
                  <c:v>4.2914498000000009E-2</c:v>
                </c:pt>
                <c:pt idx="8">
                  <c:v>2.1082686923076925E-3</c:v>
                </c:pt>
                <c:pt idx="9">
                  <c:v>7.6638603846153853E-3</c:v>
                </c:pt>
                <c:pt idx="10">
                  <c:v>4.1311246153846156E-3</c:v>
                </c:pt>
                <c:pt idx="11">
                  <c:v>2.9183124538461534E-2</c:v>
                </c:pt>
                <c:pt idx="12">
                  <c:v>6.5586494615384608E-3</c:v>
                </c:pt>
                <c:pt idx="13">
                  <c:v>7.054749692307692E-3</c:v>
                </c:pt>
                <c:pt idx="14">
                  <c:v>1.644922223076923E-2</c:v>
                </c:pt>
                <c:pt idx="15">
                  <c:v>4.3084274230769229E-2</c:v>
                </c:pt>
                <c:pt idx="16">
                  <c:v>1.7016457999999998E-2</c:v>
                </c:pt>
                <c:pt idx="17">
                  <c:v>4.7856544615384619E-2</c:v>
                </c:pt>
                <c:pt idx="18">
                  <c:v>4.5651443846153855E-2</c:v>
                </c:pt>
                <c:pt idx="19">
                  <c:v>6.5095836153846159E-3</c:v>
                </c:pt>
                <c:pt idx="20">
                  <c:v>1.4587627076923078E-2</c:v>
                </c:pt>
                <c:pt idx="21">
                  <c:v>1.1533218923076922E-2</c:v>
                </c:pt>
                <c:pt idx="22">
                  <c:v>1.2519719923076926E-2</c:v>
                </c:pt>
                <c:pt idx="23">
                  <c:v>4.9652335076923078E-2</c:v>
                </c:pt>
                <c:pt idx="24">
                  <c:v>2.4165890769230767E-3</c:v>
                </c:pt>
                <c:pt idx="25">
                  <c:v>1.0024987692307692E-3</c:v>
                </c:pt>
                <c:pt idx="26">
                  <c:v>2.2473709307692307E-2</c:v>
                </c:pt>
                <c:pt idx="27">
                  <c:v>2.8120866923076926E-3</c:v>
                </c:pt>
                <c:pt idx="28">
                  <c:v>3.5658197846153844E-2</c:v>
                </c:pt>
                <c:pt idx="29">
                  <c:v>2.5268761923076921E-2</c:v>
                </c:pt>
                <c:pt idx="30">
                  <c:v>8.7119130769230761E-4</c:v>
                </c:pt>
                <c:pt idx="31">
                  <c:v>0</c:v>
                </c:pt>
                <c:pt idx="32">
                  <c:v>0</c:v>
                </c:pt>
              </c:numCache>
            </c:numRef>
          </c:val>
        </c:ser>
        <c:dLbls>
          <c:showLegendKey val="0"/>
          <c:showVal val="0"/>
          <c:showCatName val="0"/>
          <c:showSerName val="0"/>
          <c:showPercent val="0"/>
          <c:showBubbleSize val="0"/>
        </c:dLbls>
        <c:gapWidth val="219"/>
        <c:overlap val="-27"/>
        <c:axId val="200827304"/>
        <c:axId val="203356544"/>
      </c:barChart>
      <c:catAx>
        <c:axId val="200827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Amplicon length</a:t>
                </a:r>
                <a:r>
                  <a:rPr lang="en-US" baseline="0"/>
                  <a:t> </a:t>
                </a:r>
                <a:r>
                  <a:rPr lang="en-US"/>
                  <a:t>(base pairs)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356544"/>
        <c:crosses val="autoZero"/>
        <c:auto val="1"/>
        <c:lblAlgn val="ctr"/>
        <c:lblOffset val="100"/>
        <c:noMultiLvlLbl val="0"/>
      </c:catAx>
      <c:valAx>
        <c:axId val="203356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Relative Abundance (0-1)</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827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6E229-5568-4C85-B5F3-C3A649215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9733</TotalTime>
  <Pages>11</Pages>
  <Words>4002</Words>
  <Characters>22813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Alaina</dc:creator>
  <cp:keywords/>
  <dc:description/>
  <cp:lastModifiedBy>Alaina</cp:lastModifiedBy>
  <cp:revision>39</cp:revision>
  <cp:lastPrinted>2015-07-22T20:50:00Z</cp:lastPrinted>
  <dcterms:created xsi:type="dcterms:W3CDTF">2015-06-29T13:11:00Z</dcterms:created>
  <dcterms:modified xsi:type="dcterms:W3CDTF">2015-07-22T20:51:00Z</dcterms:modified>
</cp:coreProperties>
</file>